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9B500" w14:textId="0CB11EC7" w:rsidR="00056EC4" w:rsidRDefault="006551B4" w:rsidP="0041007D">
      <w:pPr>
        <w:pStyle w:val="Body"/>
      </w:pPr>
      <w:r>
        <w:rPr>
          <w:noProof/>
        </w:rPr>
        <w:drawing>
          <wp:anchor distT="0" distB="0" distL="114300" distR="114300" simplePos="0" relativeHeight="251658240" behindDoc="1" locked="1" layoutInCell="1" allowOverlap="1" wp14:anchorId="01F66BC6" wp14:editId="5198B065">
            <wp:simplePos x="0" y="0"/>
            <wp:positionH relativeFrom="page">
              <wp:posOffset>0</wp:posOffset>
            </wp:positionH>
            <wp:positionV relativeFrom="page">
              <wp:posOffset>0</wp:posOffset>
            </wp:positionV>
            <wp:extent cx="7560000" cy="101484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High-Risk Accommodation Response Extention (HRAR Extension) - Service Specifications January 2022"/>
      </w:tblPr>
      <w:tblGrid>
        <w:gridCol w:w="9299"/>
      </w:tblGrid>
      <w:tr w:rsidR="00AD784C" w14:paraId="18FF4B0B" w14:textId="77777777" w:rsidTr="004A5C14">
        <w:trPr>
          <w:cantSplit/>
          <w:tblHeader/>
        </w:trPr>
        <w:tc>
          <w:tcPr>
            <w:tcW w:w="0" w:type="auto"/>
            <w:tcMar>
              <w:top w:w="0" w:type="dxa"/>
              <w:left w:w="0" w:type="dxa"/>
              <w:right w:w="0" w:type="dxa"/>
            </w:tcMar>
          </w:tcPr>
          <w:p w14:paraId="30E6956D" w14:textId="2219D767" w:rsidR="00AD784C" w:rsidRPr="00AD077B" w:rsidRDefault="00780820" w:rsidP="00AD077B">
            <w:pPr>
              <w:pStyle w:val="Documenttitle"/>
            </w:pPr>
            <w:r w:rsidRPr="00AD077B">
              <w:t>High-Risk Accommodation Response Extension (HRAR Extension)</w:t>
            </w:r>
          </w:p>
        </w:tc>
      </w:tr>
      <w:tr w:rsidR="00AD784C" w14:paraId="246F9CB0" w14:textId="77777777" w:rsidTr="00431F42">
        <w:trPr>
          <w:cantSplit/>
        </w:trPr>
        <w:tc>
          <w:tcPr>
            <w:tcW w:w="0" w:type="auto"/>
          </w:tcPr>
          <w:p w14:paraId="14EEB3AC" w14:textId="128058F1" w:rsidR="00386109" w:rsidRPr="00AD077B" w:rsidRDefault="00780820" w:rsidP="00AD077B">
            <w:pPr>
              <w:pStyle w:val="Documentsubtitle"/>
            </w:pPr>
            <w:r w:rsidRPr="00AD077B">
              <w:t>Service Specifications</w:t>
            </w:r>
            <w:r w:rsidR="00AA2841" w:rsidRPr="00AD077B">
              <w:t xml:space="preserve"> January 2022</w:t>
            </w:r>
          </w:p>
        </w:tc>
      </w:tr>
      <w:tr w:rsidR="00430393" w14:paraId="2AE57792" w14:textId="77777777" w:rsidTr="00431F42">
        <w:trPr>
          <w:cantSplit/>
        </w:trPr>
        <w:tc>
          <w:tcPr>
            <w:tcW w:w="0" w:type="auto"/>
          </w:tcPr>
          <w:p w14:paraId="68DABF30" w14:textId="77777777" w:rsidR="00430393" w:rsidRDefault="000B7BDC" w:rsidP="0041007D">
            <w:pPr>
              <w:pStyle w:val="Bannermarking"/>
            </w:pPr>
            <w:r>
              <w:fldChar w:fldCharType="begin"/>
            </w:r>
            <w:r>
              <w:instrText xml:space="preserve"> FILLIN  "Type the protective marking" \d OFFICIAL \o  \* MERGEFORMAT </w:instrText>
            </w:r>
            <w:r>
              <w:fldChar w:fldCharType="separate"/>
            </w:r>
            <w:r w:rsidR="001A6272">
              <w:t>OFFICIAL</w:t>
            </w:r>
            <w:r>
              <w:fldChar w:fldCharType="end"/>
            </w:r>
          </w:p>
        </w:tc>
      </w:tr>
    </w:tbl>
    <w:p w14:paraId="3B4B7FED" w14:textId="5A778641" w:rsidR="00FE4081" w:rsidRPr="00FE4081" w:rsidRDefault="00FE4081" w:rsidP="0041007D">
      <w:pPr>
        <w:pStyle w:val="Body"/>
        <w:sectPr w:rsidR="00FE4081" w:rsidRPr="00FE4081" w:rsidSect="00F125A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High-Risk Accommodation Response Extention (HRAR Extension) - Service Specifications"/>
        <w:tblDescription w:val="Originally endorsed by: Annette Lancy, Deputy Secretary, Readiness, Response and Emergency Management&#10;Date: 16 April 2021&#10;Updates endorsed by: Laura LoBianco-Smith, Acting Deputy Secretary, Readiness, Response and Emergency Management&#10;Date: 14 January 2022"/>
      </w:tblPr>
      <w:tblGrid>
        <w:gridCol w:w="9299"/>
      </w:tblGrid>
      <w:tr w:rsidR="00413D80" w14:paraId="0EEDF89D" w14:textId="77777777" w:rsidTr="004A5C14">
        <w:trPr>
          <w:cantSplit/>
          <w:trHeight w:val="7371"/>
          <w:tblHeader/>
        </w:trPr>
        <w:tc>
          <w:tcPr>
            <w:tcW w:w="9299" w:type="dxa"/>
            <w:vAlign w:val="center"/>
          </w:tcPr>
          <w:p w14:paraId="71ED7149" w14:textId="77777777" w:rsidR="00413D80" w:rsidRPr="00780820" w:rsidRDefault="00413D80" w:rsidP="00AD077B">
            <w:pPr>
              <w:pStyle w:val="Documenttitle"/>
            </w:pPr>
            <w:r w:rsidRPr="00780820">
              <w:lastRenderedPageBreak/>
              <w:t>High-Risk Accommodation Response Extension (HRAR Extension)</w:t>
            </w:r>
          </w:p>
          <w:p w14:paraId="3D1FFB06" w14:textId="77777777" w:rsidR="00413D80" w:rsidRPr="00AD077B" w:rsidRDefault="00413D80" w:rsidP="00AD077B">
            <w:pPr>
              <w:pStyle w:val="Documentsubtitle"/>
            </w:pPr>
            <w:r w:rsidRPr="00AD077B">
              <w:t>Service Specifications</w:t>
            </w:r>
          </w:p>
        </w:tc>
      </w:tr>
      <w:tr w:rsidR="00413D80" w14:paraId="578DC9F9" w14:textId="77777777" w:rsidTr="002041AA">
        <w:tc>
          <w:tcPr>
            <w:tcW w:w="9299" w:type="dxa"/>
          </w:tcPr>
          <w:p w14:paraId="490BDACE" w14:textId="6A2A85F4" w:rsidR="00413D80" w:rsidRPr="00ED2953" w:rsidRDefault="00413D80" w:rsidP="00ED2953">
            <w:pPr>
              <w:pStyle w:val="DHHSbody"/>
            </w:pPr>
            <w:r w:rsidRPr="00ED2953">
              <w:t>Originally endorsed by: Annette Lancy, Deputy Secretary, Readiness, Response and Emergency Management</w:t>
            </w:r>
            <w:r w:rsidR="00B11AE8" w:rsidRPr="00ED2953">
              <w:br/>
            </w:r>
            <w:r w:rsidRPr="00ED2953">
              <w:t>Date: 16 April 2021</w:t>
            </w:r>
          </w:p>
          <w:p w14:paraId="273C8382" w14:textId="6AFA79D8" w:rsidR="00413D80" w:rsidRDefault="00413D80" w:rsidP="005325AE">
            <w:pPr>
              <w:pStyle w:val="DHHSbody"/>
            </w:pPr>
            <w:r w:rsidRPr="00ED2953">
              <w:t>Updates endorsed by: Laura LoBianco-Smith, Acting Deputy Secretary, Readiness, Response and Emergency Management</w:t>
            </w:r>
            <w:r w:rsidR="00B11AE8" w:rsidRPr="00ED2953">
              <w:br/>
            </w:r>
            <w:r w:rsidRPr="00ED2953">
              <w:t>Date: 14 January 2022</w:t>
            </w:r>
          </w:p>
        </w:tc>
      </w:tr>
    </w:tbl>
    <w:p w14:paraId="6C2632DE" w14:textId="59D2EAFB" w:rsidR="00431F42" w:rsidRDefault="00431F42" w:rsidP="0041007D">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Accessibility statement"/>
      </w:tblPr>
      <w:tblGrid>
        <w:gridCol w:w="9288"/>
      </w:tblGrid>
      <w:tr w:rsidR="009F2182" w14:paraId="2657A1D9" w14:textId="77777777" w:rsidTr="004A5C14">
        <w:trPr>
          <w:cantSplit/>
          <w:trHeight w:val="5103"/>
          <w:tblHeader/>
        </w:trPr>
        <w:tc>
          <w:tcPr>
            <w:tcW w:w="9288" w:type="dxa"/>
            <w:vAlign w:val="bottom"/>
          </w:tcPr>
          <w:p w14:paraId="2F742D29" w14:textId="5D467A2D" w:rsidR="009F2182" w:rsidRPr="00E54C2D" w:rsidRDefault="009F2182" w:rsidP="00E54C2D">
            <w:pPr>
              <w:pStyle w:val="Accessibilitypara"/>
            </w:pPr>
            <w:r w:rsidRPr="00E54C2D">
              <w:lastRenderedPageBreak/>
              <w:t xml:space="preserve">To receive this document in another format, </w:t>
            </w:r>
            <w:hyperlink r:id="rId15" w:history="1">
              <w:r w:rsidRPr="001703DC">
                <w:rPr>
                  <w:rStyle w:val="Hyperlink"/>
                </w:rPr>
                <w:t>email</w:t>
              </w:r>
              <w:r w:rsidR="00997039" w:rsidRPr="001703DC">
                <w:rPr>
                  <w:rStyle w:val="Hyperlink"/>
                </w:rPr>
                <w:t xml:space="preserve"> </w:t>
              </w:r>
              <w:r w:rsidR="001703DC" w:rsidRPr="001703DC">
                <w:rPr>
                  <w:rStyle w:val="Hyperlink"/>
                </w:rPr>
                <w:t>RREM Executive Director team</w:t>
              </w:r>
            </w:hyperlink>
            <w:r w:rsidR="001703DC">
              <w:t xml:space="preserve"> &lt;</w:t>
            </w:r>
            <w:r w:rsidR="00BA09A0" w:rsidRPr="00E54C2D">
              <w:t>RREM.ExecDirector.ppe@ddfh.vic.gov.au</w:t>
            </w:r>
            <w:r w:rsidR="001703DC">
              <w:t>&gt;</w:t>
            </w:r>
            <w:r w:rsidRPr="00E54C2D">
              <w:t xml:space="preserve"> </w:t>
            </w:r>
          </w:p>
          <w:p w14:paraId="1875E63F" w14:textId="4F968C1F" w:rsidR="00413D80" w:rsidRPr="0055119B" w:rsidRDefault="009F2182" w:rsidP="00ED2953">
            <w:pPr>
              <w:pStyle w:val="DHHSbody"/>
            </w:pPr>
            <w:r w:rsidRPr="0055119B">
              <w:t>Authorised and published by the Victorian Government, 1 Treasury Place, Melbourne.</w:t>
            </w:r>
            <w:r w:rsidR="00E54C2D">
              <w:br/>
            </w:r>
            <w:r w:rsidRPr="00780820">
              <w:t xml:space="preserve">© State of Victoria, Australia, Department of Families, Fairness and Housing, </w:t>
            </w:r>
            <w:r w:rsidR="00780820" w:rsidRPr="00780820">
              <w:t>January 2022</w:t>
            </w:r>
            <w:r w:rsidRPr="0055119B">
              <w:t>.</w:t>
            </w:r>
          </w:p>
          <w:p w14:paraId="66A4CE22" w14:textId="77777777" w:rsidR="009F2182" w:rsidRPr="00413D80" w:rsidRDefault="009F2182" w:rsidP="00ED2953">
            <w:pPr>
              <w:pStyle w:val="DHHSbody"/>
            </w:pPr>
            <w:bookmarkStart w:id="0" w:name="_Hlk62746129"/>
            <w:r w:rsidRPr="00413D80">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20277F9E" w14:textId="54B5EFDD" w:rsidR="009F2182" w:rsidRDefault="009F2182" w:rsidP="005325AE">
            <w:pPr>
              <w:pStyle w:val="DHHSbody"/>
            </w:pPr>
            <w:r w:rsidRPr="00413D80">
              <w:t>In this document, ‘Aboriginal’ refers to both Aboriginal and Torres Strait Islander people. ‘Indigenous’ or ‘Koori/Koorie’ is retained when part of the title of a report, program or quotation.</w:t>
            </w:r>
            <w:bookmarkEnd w:id="0"/>
          </w:p>
        </w:tc>
      </w:tr>
    </w:tbl>
    <w:p w14:paraId="0A182FBD" w14:textId="328F7B3D" w:rsidR="0008204A" w:rsidRPr="0008204A" w:rsidRDefault="0008204A" w:rsidP="0041007D">
      <w:pPr>
        <w:pStyle w:val="Body"/>
      </w:pPr>
      <w:r w:rsidRPr="0008204A">
        <w:br w:type="page"/>
      </w:r>
    </w:p>
    <w:p w14:paraId="4028DB6E" w14:textId="0B4EE14E" w:rsidR="00AD784C" w:rsidRPr="00B57329" w:rsidRDefault="00AD784C" w:rsidP="00546895">
      <w:pPr>
        <w:pStyle w:val="TOCheadingreport"/>
      </w:pPr>
      <w:r w:rsidRPr="00546895">
        <w:lastRenderedPageBreak/>
        <w:t>Contents</w:t>
      </w:r>
    </w:p>
    <w:p w14:paraId="2030C3FA" w14:textId="714506BB" w:rsidR="00065F65" w:rsidRDefault="00AD784C">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93905378" w:history="1">
        <w:r w:rsidR="00065F65" w:rsidRPr="00E84834">
          <w:rPr>
            <w:rStyle w:val="Hyperlink"/>
          </w:rPr>
          <w:t>Aboriginal Acknowledgement</w:t>
        </w:r>
        <w:r w:rsidR="00065F65">
          <w:rPr>
            <w:webHidden/>
          </w:rPr>
          <w:tab/>
        </w:r>
        <w:r w:rsidR="00065F65">
          <w:rPr>
            <w:webHidden/>
          </w:rPr>
          <w:fldChar w:fldCharType="begin"/>
        </w:r>
        <w:r w:rsidR="00065F65">
          <w:rPr>
            <w:webHidden/>
          </w:rPr>
          <w:instrText xml:space="preserve"> PAGEREF _Toc93905378 \h </w:instrText>
        </w:r>
        <w:r w:rsidR="00065F65">
          <w:rPr>
            <w:webHidden/>
          </w:rPr>
        </w:r>
        <w:r w:rsidR="00065F65">
          <w:rPr>
            <w:webHidden/>
          </w:rPr>
          <w:fldChar w:fldCharType="separate"/>
        </w:r>
        <w:r w:rsidR="00065F65">
          <w:rPr>
            <w:webHidden/>
          </w:rPr>
          <w:t>6</w:t>
        </w:r>
        <w:r w:rsidR="00065F65">
          <w:rPr>
            <w:webHidden/>
          </w:rPr>
          <w:fldChar w:fldCharType="end"/>
        </w:r>
      </w:hyperlink>
    </w:p>
    <w:p w14:paraId="09DB0DD0" w14:textId="7A55DD22" w:rsidR="00065F65" w:rsidRDefault="000B7BDC">
      <w:pPr>
        <w:pStyle w:val="TOC1"/>
        <w:rPr>
          <w:rFonts w:asciiTheme="minorHAnsi" w:eastAsiaTheme="minorEastAsia" w:hAnsiTheme="minorHAnsi" w:cstheme="minorBidi"/>
          <w:b w:val="0"/>
          <w:sz w:val="22"/>
          <w:szCs w:val="22"/>
          <w:lang w:eastAsia="en-AU"/>
        </w:rPr>
      </w:pPr>
      <w:hyperlink w:anchor="_Toc93905379" w:history="1">
        <w:r w:rsidR="00065F65" w:rsidRPr="00E84834">
          <w:rPr>
            <w:rStyle w:val="Hyperlink"/>
          </w:rPr>
          <w:t>Purpose</w:t>
        </w:r>
        <w:r w:rsidR="00065F65">
          <w:rPr>
            <w:webHidden/>
          </w:rPr>
          <w:tab/>
        </w:r>
        <w:r w:rsidR="00065F65">
          <w:rPr>
            <w:webHidden/>
          </w:rPr>
          <w:fldChar w:fldCharType="begin"/>
        </w:r>
        <w:r w:rsidR="00065F65">
          <w:rPr>
            <w:webHidden/>
          </w:rPr>
          <w:instrText xml:space="preserve"> PAGEREF _Toc93905379 \h </w:instrText>
        </w:r>
        <w:r w:rsidR="00065F65">
          <w:rPr>
            <w:webHidden/>
          </w:rPr>
        </w:r>
        <w:r w:rsidR="00065F65">
          <w:rPr>
            <w:webHidden/>
          </w:rPr>
          <w:fldChar w:fldCharType="separate"/>
        </w:r>
        <w:r w:rsidR="00065F65">
          <w:rPr>
            <w:webHidden/>
          </w:rPr>
          <w:t>6</w:t>
        </w:r>
        <w:r w:rsidR="00065F65">
          <w:rPr>
            <w:webHidden/>
          </w:rPr>
          <w:fldChar w:fldCharType="end"/>
        </w:r>
      </w:hyperlink>
    </w:p>
    <w:p w14:paraId="33AD9CAF" w14:textId="69BF7753" w:rsidR="00065F65" w:rsidRDefault="000B7BDC">
      <w:pPr>
        <w:pStyle w:val="TOC1"/>
        <w:rPr>
          <w:rFonts w:asciiTheme="minorHAnsi" w:eastAsiaTheme="minorEastAsia" w:hAnsiTheme="minorHAnsi" w:cstheme="minorBidi"/>
          <w:b w:val="0"/>
          <w:sz w:val="22"/>
          <w:szCs w:val="22"/>
          <w:lang w:eastAsia="en-AU"/>
        </w:rPr>
      </w:pPr>
      <w:hyperlink w:anchor="_Toc93905380" w:history="1">
        <w:r w:rsidR="00065F65" w:rsidRPr="00E84834">
          <w:rPr>
            <w:rStyle w:val="Hyperlink"/>
          </w:rPr>
          <w:t>Introduction</w:t>
        </w:r>
        <w:r w:rsidR="00065F65">
          <w:rPr>
            <w:webHidden/>
          </w:rPr>
          <w:tab/>
        </w:r>
        <w:r w:rsidR="00065F65">
          <w:rPr>
            <w:webHidden/>
          </w:rPr>
          <w:fldChar w:fldCharType="begin"/>
        </w:r>
        <w:r w:rsidR="00065F65">
          <w:rPr>
            <w:webHidden/>
          </w:rPr>
          <w:instrText xml:space="preserve"> PAGEREF _Toc93905380 \h </w:instrText>
        </w:r>
        <w:r w:rsidR="00065F65">
          <w:rPr>
            <w:webHidden/>
          </w:rPr>
        </w:r>
        <w:r w:rsidR="00065F65">
          <w:rPr>
            <w:webHidden/>
          </w:rPr>
          <w:fldChar w:fldCharType="separate"/>
        </w:r>
        <w:r w:rsidR="00065F65">
          <w:rPr>
            <w:webHidden/>
          </w:rPr>
          <w:t>6</w:t>
        </w:r>
        <w:r w:rsidR="00065F65">
          <w:rPr>
            <w:webHidden/>
          </w:rPr>
          <w:fldChar w:fldCharType="end"/>
        </w:r>
      </w:hyperlink>
    </w:p>
    <w:p w14:paraId="2660C14A" w14:textId="77ED3A96" w:rsidR="00065F65" w:rsidRDefault="000B7BDC">
      <w:pPr>
        <w:pStyle w:val="TOC2"/>
        <w:rPr>
          <w:rFonts w:asciiTheme="minorHAnsi" w:eastAsiaTheme="minorEastAsia" w:hAnsiTheme="minorHAnsi" w:cstheme="minorBidi"/>
          <w:sz w:val="22"/>
          <w:szCs w:val="22"/>
          <w:lang w:eastAsia="en-AU"/>
        </w:rPr>
      </w:pPr>
      <w:hyperlink w:anchor="_Toc93905381" w:history="1">
        <w:r w:rsidR="00065F65" w:rsidRPr="00E84834">
          <w:rPr>
            <w:rStyle w:val="Hyperlink"/>
          </w:rPr>
          <w:t>Background</w:t>
        </w:r>
        <w:r w:rsidR="00065F65">
          <w:rPr>
            <w:webHidden/>
          </w:rPr>
          <w:tab/>
        </w:r>
        <w:r w:rsidR="00065F65">
          <w:rPr>
            <w:webHidden/>
          </w:rPr>
          <w:fldChar w:fldCharType="begin"/>
        </w:r>
        <w:r w:rsidR="00065F65">
          <w:rPr>
            <w:webHidden/>
          </w:rPr>
          <w:instrText xml:space="preserve"> PAGEREF _Toc93905381 \h </w:instrText>
        </w:r>
        <w:r w:rsidR="00065F65">
          <w:rPr>
            <w:webHidden/>
          </w:rPr>
        </w:r>
        <w:r w:rsidR="00065F65">
          <w:rPr>
            <w:webHidden/>
          </w:rPr>
          <w:fldChar w:fldCharType="separate"/>
        </w:r>
        <w:r w:rsidR="00065F65">
          <w:rPr>
            <w:webHidden/>
          </w:rPr>
          <w:t>6</w:t>
        </w:r>
        <w:r w:rsidR="00065F65">
          <w:rPr>
            <w:webHidden/>
          </w:rPr>
          <w:fldChar w:fldCharType="end"/>
        </w:r>
      </w:hyperlink>
    </w:p>
    <w:p w14:paraId="68E3F3F2" w14:textId="2E40C14D" w:rsidR="00065F65" w:rsidRDefault="000B7BDC">
      <w:pPr>
        <w:pStyle w:val="TOC2"/>
        <w:rPr>
          <w:rFonts w:asciiTheme="minorHAnsi" w:eastAsiaTheme="minorEastAsia" w:hAnsiTheme="minorHAnsi" w:cstheme="minorBidi"/>
          <w:sz w:val="22"/>
          <w:szCs w:val="22"/>
          <w:lang w:eastAsia="en-AU"/>
        </w:rPr>
      </w:pPr>
      <w:hyperlink w:anchor="_Toc93905382" w:history="1">
        <w:r w:rsidR="00065F65" w:rsidRPr="00E84834">
          <w:rPr>
            <w:rStyle w:val="Hyperlink"/>
          </w:rPr>
          <w:t>Overview of the HRAR Extension</w:t>
        </w:r>
        <w:r w:rsidR="00065F65">
          <w:rPr>
            <w:webHidden/>
          </w:rPr>
          <w:tab/>
        </w:r>
        <w:r w:rsidR="00065F65">
          <w:rPr>
            <w:webHidden/>
          </w:rPr>
          <w:fldChar w:fldCharType="begin"/>
        </w:r>
        <w:r w:rsidR="00065F65">
          <w:rPr>
            <w:webHidden/>
          </w:rPr>
          <w:instrText xml:space="preserve"> PAGEREF _Toc93905382 \h </w:instrText>
        </w:r>
        <w:r w:rsidR="00065F65">
          <w:rPr>
            <w:webHidden/>
          </w:rPr>
        </w:r>
        <w:r w:rsidR="00065F65">
          <w:rPr>
            <w:webHidden/>
          </w:rPr>
          <w:fldChar w:fldCharType="separate"/>
        </w:r>
        <w:r w:rsidR="00065F65">
          <w:rPr>
            <w:webHidden/>
          </w:rPr>
          <w:t>7</w:t>
        </w:r>
        <w:r w:rsidR="00065F65">
          <w:rPr>
            <w:webHidden/>
          </w:rPr>
          <w:fldChar w:fldCharType="end"/>
        </w:r>
      </w:hyperlink>
    </w:p>
    <w:p w14:paraId="0C12705F" w14:textId="14261BCE" w:rsidR="00065F65" w:rsidRDefault="000B7BDC">
      <w:pPr>
        <w:pStyle w:val="TOC2"/>
        <w:rPr>
          <w:rFonts w:asciiTheme="minorHAnsi" w:eastAsiaTheme="minorEastAsia" w:hAnsiTheme="minorHAnsi" w:cstheme="minorBidi"/>
          <w:sz w:val="22"/>
          <w:szCs w:val="22"/>
          <w:lang w:eastAsia="en-AU"/>
        </w:rPr>
      </w:pPr>
      <w:hyperlink w:anchor="_Toc93905383" w:history="1">
        <w:r w:rsidR="00065F65" w:rsidRPr="00E84834">
          <w:rPr>
            <w:rStyle w:val="Hyperlink"/>
          </w:rPr>
          <w:t>Governance</w:t>
        </w:r>
        <w:r w:rsidR="00065F65">
          <w:rPr>
            <w:webHidden/>
          </w:rPr>
          <w:tab/>
        </w:r>
        <w:r w:rsidR="00065F65">
          <w:rPr>
            <w:webHidden/>
          </w:rPr>
          <w:fldChar w:fldCharType="begin"/>
        </w:r>
        <w:r w:rsidR="00065F65">
          <w:rPr>
            <w:webHidden/>
          </w:rPr>
          <w:instrText xml:space="preserve"> PAGEREF _Toc93905383 \h </w:instrText>
        </w:r>
        <w:r w:rsidR="00065F65">
          <w:rPr>
            <w:webHidden/>
          </w:rPr>
        </w:r>
        <w:r w:rsidR="00065F65">
          <w:rPr>
            <w:webHidden/>
          </w:rPr>
          <w:fldChar w:fldCharType="separate"/>
        </w:r>
        <w:r w:rsidR="00065F65">
          <w:rPr>
            <w:webHidden/>
          </w:rPr>
          <w:t>8</w:t>
        </w:r>
        <w:r w:rsidR="00065F65">
          <w:rPr>
            <w:webHidden/>
          </w:rPr>
          <w:fldChar w:fldCharType="end"/>
        </w:r>
      </w:hyperlink>
    </w:p>
    <w:p w14:paraId="3A6D9DBE" w14:textId="64A74B8F" w:rsidR="00065F65" w:rsidRDefault="000B7BDC">
      <w:pPr>
        <w:pStyle w:val="TOC1"/>
        <w:rPr>
          <w:rFonts w:asciiTheme="minorHAnsi" w:eastAsiaTheme="minorEastAsia" w:hAnsiTheme="minorHAnsi" w:cstheme="minorBidi"/>
          <w:b w:val="0"/>
          <w:sz w:val="22"/>
          <w:szCs w:val="22"/>
          <w:lang w:eastAsia="en-AU"/>
        </w:rPr>
      </w:pPr>
      <w:hyperlink w:anchor="_Toc93905384" w:history="1">
        <w:r w:rsidR="00065F65" w:rsidRPr="00E84834">
          <w:rPr>
            <w:rStyle w:val="Hyperlink"/>
          </w:rPr>
          <w:t>Objectives and Goals</w:t>
        </w:r>
        <w:r w:rsidR="00065F65">
          <w:rPr>
            <w:webHidden/>
          </w:rPr>
          <w:tab/>
        </w:r>
        <w:r w:rsidR="00065F65">
          <w:rPr>
            <w:webHidden/>
          </w:rPr>
          <w:fldChar w:fldCharType="begin"/>
        </w:r>
        <w:r w:rsidR="00065F65">
          <w:rPr>
            <w:webHidden/>
          </w:rPr>
          <w:instrText xml:space="preserve"> PAGEREF _Toc93905384 \h </w:instrText>
        </w:r>
        <w:r w:rsidR="00065F65">
          <w:rPr>
            <w:webHidden/>
          </w:rPr>
        </w:r>
        <w:r w:rsidR="00065F65">
          <w:rPr>
            <w:webHidden/>
          </w:rPr>
          <w:fldChar w:fldCharType="separate"/>
        </w:r>
        <w:r w:rsidR="00065F65">
          <w:rPr>
            <w:webHidden/>
          </w:rPr>
          <w:t>9</w:t>
        </w:r>
        <w:r w:rsidR="00065F65">
          <w:rPr>
            <w:webHidden/>
          </w:rPr>
          <w:fldChar w:fldCharType="end"/>
        </w:r>
      </w:hyperlink>
    </w:p>
    <w:p w14:paraId="1A494277" w14:textId="73D355DC" w:rsidR="00065F65" w:rsidRDefault="000B7BDC">
      <w:pPr>
        <w:pStyle w:val="TOC2"/>
        <w:rPr>
          <w:rFonts w:asciiTheme="minorHAnsi" w:eastAsiaTheme="minorEastAsia" w:hAnsiTheme="minorHAnsi" w:cstheme="minorBidi"/>
          <w:sz w:val="22"/>
          <w:szCs w:val="22"/>
          <w:lang w:eastAsia="en-AU"/>
        </w:rPr>
      </w:pPr>
      <w:hyperlink w:anchor="_Toc93905385" w:history="1">
        <w:r w:rsidR="00065F65" w:rsidRPr="00E84834">
          <w:rPr>
            <w:rStyle w:val="Hyperlink"/>
          </w:rPr>
          <w:t>Mission</w:t>
        </w:r>
        <w:r w:rsidR="00065F65">
          <w:rPr>
            <w:webHidden/>
          </w:rPr>
          <w:tab/>
        </w:r>
        <w:r w:rsidR="00065F65">
          <w:rPr>
            <w:webHidden/>
          </w:rPr>
          <w:fldChar w:fldCharType="begin"/>
        </w:r>
        <w:r w:rsidR="00065F65">
          <w:rPr>
            <w:webHidden/>
          </w:rPr>
          <w:instrText xml:space="preserve"> PAGEREF _Toc93905385 \h </w:instrText>
        </w:r>
        <w:r w:rsidR="00065F65">
          <w:rPr>
            <w:webHidden/>
          </w:rPr>
        </w:r>
        <w:r w:rsidR="00065F65">
          <w:rPr>
            <w:webHidden/>
          </w:rPr>
          <w:fldChar w:fldCharType="separate"/>
        </w:r>
        <w:r w:rsidR="00065F65">
          <w:rPr>
            <w:webHidden/>
          </w:rPr>
          <w:t>9</w:t>
        </w:r>
        <w:r w:rsidR="00065F65">
          <w:rPr>
            <w:webHidden/>
          </w:rPr>
          <w:fldChar w:fldCharType="end"/>
        </w:r>
      </w:hyperlink>
    </w:p>
    <w:p w14:paraId="07878ACD" w14:textId="6D481707" w:rsidR="00065F65" w:rsidRDefault="000B7BDC">
      <w:pPr>
        <w:pStyle w:val="TOC2"/>
        <w:rPr>
          <w:rFonts w:asciiTheme="minorHAnsi" w:eastAsiaTheme="minorEastAsia" w:hAnsiTheme="minorHAnsi" w:cstheme="minorBidi"/>
          <w:sz w:val="22"/>
          <w:szCs w:val="22"/>
          <w:lang w:eastAsia="en-AU"/>
        </w:rPr>
      </w:pPr>
      <w:hyperlink w:anchor="_Toc93905386" w:history="1">
        <w:r w:rsidR="00065F65" w:rsidRPr="00E84834">
          <w:rPr>
            <w:rStyle w:val="Hyperlink"/>
          </w:rPr>
          <w:t>Objectives</w:t>
        </w:r>
        <w:r w:rsidR="00065F65">
          <w:rPr>
            <w:webHidden/>
          </w:rPr>
          <w:tab/>
        </w:r>
        <w:r w:rsidR="00065F65">
          <w:rPr>
            <w:webHidden/>
          </w:rPr>
          <w:fldChar w:fldCharType="begin"/>
        </w:r>
        <w:r w:rsidR="00065F65">
          <w:rPr>
            <w:webHidden/>
          </w:rPr>
          <w:instrText xml:space="preserve"> PAGEREF _Toc93905386 \h </w:instrText>
        </w:r>
        <w:r w:rsidR="00065F65">
          <w:rPr>
            <w:webHidden/>
          </w:rPr>
        </w:r>
        <w:r w:rsidR="00065F65">
          <w:rPr>
            <w:webHidden/>
          </w:rPr>
          <w:fldChar w:fldCharType="separate"/>
        </w:r>
        <w:r w:rsidR="00065F65">
          <w:rPr>
            <w:webHidden/>
          </w:rPr>
          <w:t>9</w:t>
        </w:r>
        <w:r w:rsidR="00065F65">
          <w:rPr>
            <w:webHidden/>
          </w:rPr>
          <w:fldChar w:fldCharType="end"/>
        </w:r>
      </w:hyperlink>
    </w:p>
    <w:p w14:paraId="75E49D75" w14:textId="0CE3B385" w:rsidR="00065F65" w:rsidRDefault="000B7BDC">
      <w:pPr>
        <w:pStyle w:val="TOC2"/>
        <w:rPr>
          <w:rFonts w:asciiTheme="minorHAnsi" w:eastAsiaTheme="minorEastAsia" w:hAnsiTheme="minorHAnsi" w:cstheme="minorBidi"/>
          <w:sz w:val="22"/>
          <w:szCs w:val="22"/>
          <w:lang w:eastAsia="en-AU"/>
        </w:rPr>
      </w:pPr>
      <w:hyperlink w:anchor="_Toc93905387" w:history="1">
        <w:r w:rsidR="00065F65" w:rsidRPr="00E84834">
          <w:rPr>
            <w:rStyle w:val="Hyperlink"/>
          </w:rPr>
          <w:t>Principles</w:t>
        </w:r>
        <w:r w:rsidR="00065F65">
          <w:rPr>
            <w:webHidden/>
          </w:rPr>
          <w:tab/>
        </w:r>
        <w:r w:rsidR="00065F65">
          <w:rPr>
            <w:webHidden/>
          </w:rPr>
          <w:fldChar w:fldCharType="begin"/>
        </w:r>
        <w:r w:rsidR="00065F65">
          <w:rPr>
            <w:webHidden/>
          </w:rPr>
          <w:instrText xml:space="preserve"> PAGEREF _Toc93905387 \h </w:instrText>
        </w:r>
        <w:r w:rsidR="00065F65">
          <w:rPr>
            <w:webHidden/>
          </w:rPr>
        </w:r>
        <w:r w:rsidR="00065F65">
          <w:rPr>
            <w:webHidden/>
          </w:rPr>
          <w:fldChar w:fldCharType="separate"/>
        </w:r>
        <w:r w:rsidR="00065F65">
          <w:rPr>
            <w:webHidden/>
          </w:rPr>
          <w:t>10</w:t>
        </w:r>
        <w:r w:rsidR="00065F65">
          <w:rPr>
            <w:webHidden/>
          </w:rPr>
          <w:fldChar w:fldCharType="end"/>
        </w:r>
      </w:hyperlink>
    </w:p>
    <w:p w14:paraId="5E797A2D" w14:textId="06EA66F6" w:rsidR="00065F65" w:rsidRDefault="000B7BDC">
      <w:pPr>
        <w:pStyle w:val="TOC1"/>
        <w:rPr>
          <w:rFonts w:asciiTheme="minorHAnsi" w:eastAsiaTheme="minorEastAsia" w:hAnsiTheme="minorHAnsi" w:cstheme="minorBidi"/>
          <w:b w:val="0"/>
          <w:sz w:val="22"/>
          <w:szCs w:val="22"/>
          <w:lang w:eastAsia="en-AU"/>
        </w:rPr>
      </w:pPr>
      <w:hyperlink w:anchor="_Toc93905388" w:history="1">
        <w:r w:rsidR="00065F65" w:rsidRPr="00E84834">
          <w:rPr>
            <w:rStyle w:val="Hyperlink"/>
          </w:rPr>
          <w:t>Scope</w:t>
        </w:r>
        <w:r w:rsidR="00065F65">
          <w:rPr>
            <w:webHidden/>
          </w:rPr>
          <w:tab/>
        </w:r>
        <w:r w:rsidR="00065F65">
          <w:rPr>
            <w:webHidden/>
          </w:rPr>
          <w:fldChar w:fldCharType="begin"/>
        </w:r>
        <w:r w:rsidR="00065F65">
          <w:rPr>
            <w:webHidden/>
          </w:rPr>
          <w:instrText xml:space="preserve"> PAGEREF _Toc93905388 \h </w:instrText>
        </w:r>
        <w:r w:rsidR="00065F65">
          <w:rPr>
            <w:webHidden/>
          </w:rPr>
        </w:r>
        <w:r w:rsidR="00065F65">
          <w:rPr>
            <w:webHidden/>
          </w:rPr>
          <w:fldChar w:fldCharType="separate"/>
        </w:r>
        <w:r w:rsidR="00065F65">
          <w:rPr>
            <w:webHidden/>
          </w:rPr>
          <w:t>11</w:t>
        </w:r>
        <w:r w:rsidR="00065F65">
          <w:rPr>
            <w:webHidden/>
          </w:rPr>
          <w:fldChar w:fldCharType="end"/>
        </w:r>
      </w:hyperlink>
    </w:p>
    <w:p w14:paraId="7551071B" w14:textId="44276C4D" w:rsidR="00065F65" w:rsidRDefault="000B7BDC">
      <w:pPr>
        <w:pStyle w:val="TOC1"/>
        <w:rPr>
          <w:rFonts w:asciiTheme="minorHAnsi" w:eastAsiaTheme="minorEastAsia" w:hAnsiTheme="minorHAnsi" w:cstheme="minorBidi"/>
          <w:b w:val="0"/>
          <w:sz w:val="22"/>
          <w:szCs w:val="22"/>
          <w:lang w:eastAsia="en-AU"/>
        </w:rPr>
      </w:pPr>
      <w:hyperlink w:anchor="_Toc93905389" w:history="1">
        <w:r w:rsidR="00065F65" w:rsidRPr="00E84834">
          <w:rPr>
            <w:rStyle w:val="Hyperlink"/>
          </w:rPr>
          <w:t>Catchment approach and boundaries</w:t>
        </w:r>
        <w:r w:rsidR="00065F65">
          <w:rPr>
            <w:webHidden/>
          </w:rPr>
          <w:tab/>
        </w:r>
        <w:r w:rsidR="00065F65">
          <w:rPr>
            <w:webHidden/>
          </w:rPr>
          <w:fldChar w:fldCharType="begin"/>
        </w:r>
        <w:r w:rsidR="00065F65">
          <w:rPr>
            <w:webHidden/>
          </w:rPr>
          <w:instrText xml:space="preserve"> PAGEREF _Toc93905389 \h </w:instrText>
        </w:r>
        <w:r w:rsidR="00065F65">
          <w:rPr>
            <w:webHidden/>
          </w:rPr>
        </w:r>
        <w:r w:rsidR="00065F65">
          <w:rPr>
            <w:webHidden/>
          </w:rPr>
          <w:fldChar w:fldCharType="separate"/>
        </w:r>
        <w:r w:rsidR="00065F65">
          <w:rPr>
            <w:webHidden/>
          </w:rPr>
          <w:t>12</w:t>
        </w:r>
        <w:r w:rsidR="00065F65">
          <w:rPr>
            <w:webHidden/>
          </w:rPr>
          <w:fldChar w:fldCharType="end"/>
        </w:r>
      </w:hyperlink>
    </w:p>
    <w:p w14:paraId="408A9331" w14:textId="66F8A51E" w:rsidR="00065F65" w:rsidRDefault="000B7BDC">
      <w:pPr>
        <w:pStyle w:val="TOC2"/>
        <w:rPr>
          <w:rFonts w:asciiTheme="minorHAnsi" w:eastAsiaTheme="minorEastAsia" w:hAnsiTheme="minorHAnsi" w:cstheme="minorBidi"/>
          <w:sz w:val="22"/>
          <w:szCs w:val="22"/>
          <w:lang w:eastAsia="en-AU"/>
        </w:rPr>
      </w:pPr>
      <w:hyperlink w:anchor="_Toc93905390" w:history="1">
        <w:r w:rsidR="00065F65" w:rsidRPr="00E84834">
          <w:rPr>
            <w:rStyle w:val="Hyperlink"/>
          </w:rPr>
          <w:t>High-risk Accommodation Response catchments</w:t>
        </w:r>
        <w:r w:rsidR="00065F65">
          <w:rPr>
            <w:webHidden/>
          </w:rPr>
          <w:tab/>
        </w:r>
        <w:r w:rsidR="00065F65">
          <w:rPr>
            <w:webHidden/>
          </w:rPr>
          <w:fldChar w:fldCharType="begin"/>
        </w:r>
        <w:r w:rsidR="00065F65">
          <w:rPr>
            <w:webHidden/>
          </w:rPr>
          <w:instrText xml:space="preserve"> PAGEREF _Toc93905390 \h </w:instrText>
        </w:r>
        <w:r w:rsidR="00065F65">
          <w:rPr>
            <w:webHidden/>
          </w:rPr>
        </w:r>
        <w:r w:rsidR="00065F65">
          <w:rPr>
            <w:webHidden/>
          </w:rPr>
          <w:fldChar w:fldCharType="separate"/>
        </w:r>
        <w:r w:rsidR="00065F65">
          <w:rPr>
            <w:webHidden/>
          </w:rPr>
          <w:t>12</w:t>
        </w:r>
        <w:r w:rsidR="00065F65">
          <w:rPr>
            <w:webHidden/>
          </w:rPr>
          <w:fldChar w:fldCharType="end"/>
        </w:r>
      </w:hyperlink>
    </w:p>
    <w:p w14:paraId="1F3D865C" w14:textId="3C48D6D6" w:rsidR="00065F65" w:rsidRDefault="000B7BDC">
      <w:pPr>
        <w:pStyle w:val="TOC1"/>
        <w:rPr>
          <w:rFonts w:asciiTheme="minorHAnsi" w:eastAsiaTheme="minorEastAsia" w:hAnsiTheme="minorHAnsi" w:cstheme="minorBidi"/>
          <w:b w:val="0"/>
          <w:sz w:val="22"/>
          <w:szCs w:val="22"/>
          <w:lang w:eastAsia="en-AU"/>
        </w:rPr>
      </w:pPr>
      <w:hyperlink w:anchor="_Toc93905391" w:history="1">
        <w:r w:rsidR="00065F65" w:rsidRPr="00E84834">
          <w:rPr>
            <w:rStyle w:val="Hyperlink"/>
          </w:rPr>
          <w:t>Service Specifications</w:t>
        </w:r>
        <w:r w:rsidR="00065F65">
          <w:rPr>
            <w:webHidden/>
          </w:rPr>
          <w:tab/>
        </w:r>
        <w:r w:rsidR="00065F65">
          <w:rPr>
            <w:webHidden/>
          </w:rPr>
          <w:fldChar w:fldCharType="begin"/>
        </w:r>
        <w:r w:rsidR="00065F65">
          <w:rPr>
            <w:webHidden/>
          </w:rPr>
          <w:instrText xml:space="preserve"> PAGEREF _Toc93905391 \h </w:instrText>
        </w:r>
        <w:r w:rsidR="00065F65">
          <w:rPr>
            <w:webHidden/>
          </w:rPr>
        </w:r>
        <w:r w:rsidR="00065F65">
          <w:rPr>
            <w:webHidden/>
          </w:rPr>
          <w:fldChar w:fldCharType="separate"/>
        </w:r>
        <w:r w:rsidR="00065F65">
          <w:rPr>
            <w:webHidden/>
          </w:rPr>
          <w:t>13</w:t>
        </w:r>
        <w:r w:rsidR="00065F65">
          <w:rPr>
            <w:webHidden/>
          </w:rPr>
          <w:fldChar w:fldCharType="end"/>
        </w:r>
      </w:hyperlink>
    </w:p>
    <w:p w14:paraId="16583CCF" w14:textId="4269353A" w:rsidR="00065F65" w:rsidRDefault="000B7BDC">
      <w:pPr>
        <w:pStyle w:val="TOC2"/>
        <w:rPr>
          <w:rFonts w:asciiTheme="minorHAnsi" w:eastAsiaTheme="minorEastAsia" w:hAnsiTheme="minorHAnsi" w:cstheme="minorBidi"/>
          <w:sz w:val="22"/>
          <w:szCs w:val="22"/>
          <w:lang w:eastAsia="en-AU"/>
        </w:rPr>
      </w:pPr>
      <w:hyperlink w:anchor="_Toc93905392" w:history="1">
        <w:r w:rsidR="00065F65" w:rsidRPr="00E84834">
          <w:rPr>
            <w:rStyle w:val="Hyperlink"/>
          </w:rPr>
          <w:t>Roles and responsibilities</w:t>
        </w:r>
        <w:r w:rsidR="00065F65">
          <w:rPr>
            <w:webHidden/>
          </w:rPr>
          <w:tab/>
        </w:r>
        <w:r w:rsidR="00065F65">
          <w:rPr>
            <w:webHidden/>
          </w:rPr>
          <w:fldChar w:fldCharType="begin"/>
        </w:r>
        <w:r w:rsidR="00065F65">
          <w:rPr>
            <w:webHidden/>
          </w:rPr>
          <w:instrText xml:space="preserve"> PAGEREF _Toc93905392 \h </w:instrText>
        </w:r>
        <w:r w:rsidR="00065F65">
          <w:rPr>
            <w:webHidden/>
          </w:rPr>
        </w:r>
        <w:r w:rsidR="00065F65">
          <w:rPr>
            <w:webHidden/>
          </w:rPr>
          <w:fldChar w:fldCharType="separate"/>
        </w:r>
        <w:r w:rsidR="00065F65">
          <w:rPr>
            <w:webHidden/>
          </w:rPr>
          <w:t>13</w:t>
        </w:r>
        <w:r w:rsidR="00065F65">
          <w:rPr>
            <w:webHidden/>
          </w:rPr>
          <w:fldChar w:fldCharType="end"/>
        </w:r>
      </w:hyperlink>
    </w:p>
    <w:p w14:paraId="52218C51" w14:textId="7D85A184" w:rsidR="00065F65" w:rsidRDefault="000B7BDC">
      <w:pPr>
        <w:pStyle w:val="TOC2"/>
        <w:rPr>
          <w:rFonts w:asciiTheme="minorHAnsi" w:eastAsiaTheme="minorEastAsia" w:hAnsiTheme="minorHAnsi" w:cstheme="minorBidi"/>
          <w:sz w:val="22"/>
          <w:szCs w:val="22"/>
          <w:lang w:eastAsia="en-AU"/>
        </w:rPr>
      </w:pPr>
      <w:hyperlink w:anchor="_Toc93905393" w:history="1">
        <w:r w:rsidR="00065F65" w:rsidRPr="00E84834">
          <w:rPr>
            <w:rStyle w:val="Hyperlink"/>
          </w:rPr>
          <w:t>The tiered approach</w:t>
        </w:r>
        <w:r w:rsidR="00065F65">
          <w:rPr>
            <w:webHidden/>
          </w:rPr>
          <w:tab/>
        </w:r>
        <w:r w:rsidR="00065F65">
          <w:rPr>
            <w:webHidden/>
          </w:rPr>
          <w:fldChar w:fldCharType="begin"/>
        </w:r>
        <w:r w:rsidR="00065F65">
          <w:rPr>
            <w:webHidden/>
          </w:rPr>
          <w:instrText xml:space="preserve"> PAGEREF _Toc93905393 \h </w:instrText>
        </w:r>
        <w:r w:rsidR="00065F65">
          <w:rPr>
            <w:webHidden/>
          </w:rPr>
        </w:r>
        <w:r w:rsidR="00065F65">
          <w:rPr>
            <w:webHidden/>
          </w:rPr>
          <w:fldChar w:fldCharType="separate"/>
        </w:r>
        <w:r w:rsidR="00065F65">
          <w:rPr>
            <w:webHidden/>
          </w:rPr>
          <w:t>14</w:t>
        </w:r>
        <w:r w:rsidR="00065F65">
          <w:rPr>
            <w:webHidden/>
          </w:rPr>
          <w:fldChar w:fldCharType="end"/>
        </w:r>
      </w:hyperlink>
    </w:p>
    <w:p w14:paraId="6C10E553" w14:textId="702F3655" w:rsidR="00065F65" w:rsidRDefault="000B7BDC">
      <w:pPr>
        <w:pStyle w:val="TOC1"/>
        <w:rPr>
          <w:rFonts w:asciiTheme="minorHAnsi" w:eastAsiaTheme="minorEastAsia" w:hAnsiTheme="minorHAnsi" w:cstheme="minorBidi"/>
          <w:b w:val="0"/>
          <w:sz w:val="22"/>
          <w:szCs w:val="22"/>
          <w:lang w:eastAsia="en-AU"/>
        </w:rPr>
      </w:pPr>
      <w:hyperlink w:anchor="_Toc93905394" w:history="1">
        <w:r w:rsidR="00065F65" w:rsidRPr="00E84834">
          <w:rPr>
            <w:rStyle w:val="Hyperlink"/>
          </w:rPr>
          <w:t>The five service pillars of the HRAR Extension</w:t>
        </w:r>
        <w:r w:rsidR="00065F65">
          <w:rPr>
            <w:webHidden/>
          </w:rPr>
          <w:tab/>
        </w:r>
        <w:r w:rsidR="00065F65">
          <w:rPr>
            <w:webHidden/>
          </w:rPr>
          <w:fldChar w:fldCharType="begin"/>
        </w:r>
        <w:r w:rsidR="00065F65">
          <w:rPr>
            <w:webHidden/>
          </w:rPr>
          <w:instrText xml:space="preserve"> PAGEREF _Toc93905394 \h </w:instrText>
        </w:r>
        <w:r w:rsidR="00065F65">
          <w:rPr>
            <w:webHidden/>
          </w:rPr>
        </w:r>
        <w:r w:rsidR="00065F65">
          <w:rPr>
            <w:webHidden/>
          </w:rPr>
          <w:fldChar w:fldCharType="separate"/>
        </w:r>
        <w:r w:rsidR="00065F65">
          <w:rPr>
            <w:webHidden/>
          </w:rPr>
          <w:t>15</w:t>
        </w:r>
        <w:r w:rsidR="00065F65">
          <w:rPr>
            <w:webHidden/>
          </w:rPr>
          <w:fldChar w:fldCharType="end"/>
        </w:r>
      </w:hyperlink>
    </w:p>
    <w:p w14:paraId="5F3AA28D" w14:textId="5191EBFD" w:rsidR="00065F65" w:rsidRDefault="000B7BDC">
      <w:pPr>
        <w:pStyle w:val="TOC2"/>
        <w:rPr>
          <w:rFonts w:asciiTheme="minorHAnsi" w:eastAsiaTheme="minorEastAsia" w:hAnsiTheme="minorHAnsi" w:cstheme="minorBidi"/>
          <w:sz w:val="22"/>
          <w:szCs w:val="22"/>
          <w:lang w:eastAsia="en-AU"/>
        </w:rPr>
      </w:pPr>
      <w:hyperlink w:anchor="_Toc93905395" w:history="1">
        <w:r w:rsidR="00065F65" w:rsidRPr="00E84834">
          <w:rPr>
            <w:rStyle w:val="Hyperlink"/>
          </w:rPr>
          <w:t>Catchment partnerships (previously ‘catchment planning’)</w:t>
        </w:r>
        <w:r w:rsidR="00065F65">
          <w:rPr>
            <w:webHidden/>
          </w:rPr>
          <w:tab/>
        </w:r>
        <w:r w:rsidR="00065F65">
          <w:rPr>
            <w:webHidden/>
          </w:rPr>
          <w:fldChar w:fldCharType="begin"/>
        </w:r>
        <w:r w:rsidR="00065F65">
          <w:rPr>
            <w:webHidden/>
          </w:rPr>
          <w:instrText xml:space="preserve"> PAGEREF _Toc93905395 \h </w:instrText>
        </w:r>
        <w:r w:rsidR="00065F65">
          <w:rPr>
            <w:webHidden/>
          </w:rPr>
        </w:r>
        <w:r w:rsidR="00065F65">
          <w:rPr>
            <w:webHidden/>
          </w:rPr>
          <w:fldChar w:fldCharType="separate"/>
        </w:r>
        <w:r w:rsidR="00065F65">
          <w:rPr>
            <w:webHidden/>
          </w:rPr>
          <w:t>15</w:t>
        </w:r>
        <w:r w:rsidR="00065F65">
          <w:rPr>
            <w:webHidden/>
          </w:rPr>
          <w:fldChar w:fldCharType="end"/>
        </w:r>
      </w:hyperlink>
    </w:p>
    <w:p w14:paraId="677AEFBC" w14:textId="4A4A9BB1" w:rsidR="00065F65" w:rsidRDefault="000B7BDC">
      <w:pPr>
        <w:pStyle w:val="TOC2"/>
        <w:rPr>
          <w:rFonts w:asciiTheme="minorHAnsi" w:eastAsiaTheme="minorEastAsia" w:hAnsiTheme="minorHAnsi" w:cstheme="minorBidi"/>
          <w:sz w:val="22"/>
          <w:szCs w:val="22"/>
          <w:lang w:eastAsia="en-AU"/>
        </w:rPr>
      </w:pPr>
      <w:hyperlink w:anchor="_Toc93905396" w:history="1">
        <w:r w:rsidR="00065F65" w:rsidRPr="00E84834">
          <w:rPr>
            <w:rStyle w:val="Hyperlink"/>
          </w:rPr>
          <w:t>Community engagement</w:t>
        </w:r>
        <w:r w:rsidR="00065F65">
          <w:rPr>
            <w:webHidden/>
          </w:rPr>
          <w:tab/>
        </w:r>
        <w:r w:rsidR="00065F65">
          <w:rPr>
            <w:webHidden/>
          </w:rPr>
          <w:fldChar w:fldCharType="begin"/>
        </w:r>
        <w:r w:rsidR="00065F65">
          <w:rPr>
            <w:webHidden/>
          </w:rPr>
          <w:instrText xml:space="preserve"> PAGEREF _Toc93905396 \h </w:instrText>
        </w:r>
        <w:r w:rsidR="00065F65">
          <w:rPr>
            <w:webHidden/>
          </w:rPr>
        </w:r>
        <w:r w:rsidR="00065F65">
          <w:rPr>
            <w:webHidden/>
          </w:rPr>
          <w:fldChar w:fldCharType="separate"/>
        </w:r>
        <w:r w:rsidR="00065F65">
          <w:rPr>
            <w:webHidden/>
          </w:rPr>
          <w:t>16</w:t>
        </w:r>
        <w:r w:rsidR="00065F65">
          <w:rPr>
            <w:webHidden/>
          </w:rPr>
          <w:fldChar w:fldCharType="end"/>
        </w:r>
      </w:hyperlink>
    </w:p>
    <w:p w14:paraId="724BEA71" w14:textId="3A7618D8" w:rsidR="00065F65" w:rsidRDefault="000B7BDC">
      <w:pPr>
        <w:pStyle w:val="TOC2"/>
        <w:rPr>
          <w:rFonts w:asciiTheme="minorHAnsi" w:eastAsiaTheme="minorEastAsia" w:hAnsiTheme="minorHAnsi" w:cstheme="minorBidi"/>
          <w:sz w:val="22"/>
          <w:szCs w:val="22"/>
          <w:lang w:eastAsia="en-AU"/>
        </w:rPr>
      </w:pPr>
      <w:hyperlink w:anchor="_Toc93905397" w:history="1">
        <w:r w:rsidR="00065F65" w:rsidRPr="00E84834">
          <w:rPr>
            <w:rStyle w:val="Hyperlink"/>
          </w:rPr>
          <w:t>Prevention and preparedness</w:t>
        </w:r>
        <w:r w:rsidR="00065F65">
          <w:rPr>
            <w:webHidden/>
          </w:rPr>
          <w:tab/>
        </w:r>
        <w:r w:rsidR="00065F65">
          <w:rPr>
            <w:webHidden/>
          </w:rPr>
          <w:fldChar w:fldCharType="begin"/>
        </w:r>
        <w:r w:rsidR="00065F65">
          <w:rPr>
            <w:webHidden/>
          </w:rPr>
          <w:instrText xml:space="preserve"> PAGEREF _Toc93905397 \h </w:instrText>
        </w:r>
        <w:r w:rsidR="00065F65">
          <w:rPr>
            <w:webHidden/>
          </w:rPr>
        </w:r>
        <w:r w:rsidR="00065F65">
          <w:rPr>
            <w:webHidden/>
          </w:rPr>
          <w:fldChar w:fldCharType="separate"/>
        </w:r>
        <w:r w:rsidR="00065F65">
          <w:rPr>
            <w:webHidden/>
          </w:rPr>
          <w:t>19</w:t>
        </w:r>
        <w:r w:rsidR="00065F65">
          <w:rPr>
            <w:webHidden/>
          </w:rPr>
          <w:fldChar w:fldCharType="end"/>
        </w:r>
      </w:hyperlink>
    </w:p>
    <w:p w14:paraId="656DE783" w14:textId="422B4448" w:rsidR="00065F65" w:rsidRDefault="000B7BDC">
      <w:pPr>
        <w:pStyle w:val="TOC2"/>
        <w:rPr>
          <w:rFonts w:asciiTheme="minorHAnsi" w:eastAsiaTheme="minorEastAsia" w:hAnsiTheme="minorHAnsi" w:cstheme="minorBidi"/>
          <w:sz w:val="22"/>
          <w:szCs w:val="22"/>
          <w:lang w:eastAsia="en-AU"/>
        </w:rPr>
      </w:pPr>
      <w:hyperlink w:anchor="_Toc93905398" w:history="1">
        <w:r w:rsidR="00065F65" w:rsidRPr="00E84834">
          <w:rPr>
            <w:rStyle w:val="Hyperlink"/>
          </w:rPr>
          <w:t>Active linkage to health and social supports</w:t>
        </w:r>
        <w:r w:rsidR="00065F65">
          <w:rPr>
            <w:webHidden/>
          </w:rPr>
          <w:tab/>
        </w:r>
        <w:r w:rsidR="00065F65">
          <w:rPr>
            <w:webHidden/>
          </w:rPr>
          <w:fldChar w:fldCharType="begin"/>
        </w:r>
        <w:r w:rsidR="00065F65">
          <w:rPr>
            <w:webHidden/>
          </w:rPr>
          <w:instrText xml:space="preserve"> PAGEREF _Toc93905398 \h </w:instrText>
        </w:r>
        <w:r w:rsidR="00065F65">
          <w:rPr>
            <w:webHidden/>
          </w:rPr>
        </w:r>
        <w:r w:rsidR="00065F65">
          <w:rPr>
            <w:webHidden/>
          </w:rPr>
          <w:fldChar w:fldCharType="separate"/>
        </w:r>
        <w:r w:rsidR="00065F65">
          <w:rPr>
            <w:webHidden/>
          </w:rPr>
          <w:t>21</w:t>
        </w:r>
        <w:r w:rsidR="00065F65">
          <w:rPr>
            <w:webHidden/>
          </w:rPr>
          <w:fldChar w:fldCharType="end"/>
        </w:r>
      </w:hyperlink>
    </w:p>
    <w:p w14:paraId="44576D2C" w14:textId="4F350330" w:rsidR="00065F65" w:rsidRDefault="000B7BDC">
      <w:pPr>
        <w:pStyle w:val="TOC2"/>
        <w:rPr>
          <w:rFonts w:asciiTheme="minorHAnsi" w:eastAsiaTheme="minorEastAsia" w:hAnsiTheme="minorHAnsi" w:cstheme="minorBidi"/>
          <w:sz w:val="22"/>
          <w:szCs w:val="22"/>
          <w:lang w:eastAsia="en-AU"/>
        </w:rPr>
      </w:pPr>
      <w:hyperlink w:anchor="_Toc93905399" w:history="1">
        <w:r w:rsidR="00065F65" w:rsidRPr="00E84834">
          <w:rPr>
            <w:rStyle w:val="Hyperlink"/>
          </w:rPr>
          <w:t>Outbreak Support</w:t>
        </w:r>
        <w:r w:rsidR="00065F65">
          <w:rPr>
            <w:webHidden/>
          </w:rPr>
          <w:tab/>
        </w:r>
        <w:r w:rsidR="00065F65">
          <w:rPr>
            <w:webHidden/>
          </w:rPr>
          <w:fldChar w:fldCharType="begin"/>
        </w:r>
        <w:r w:rsidR="00065F65">
          <w:rPr>
            <w:webHidden/>
          </w:rPr>
          <w:instrText xml:space="preserve"> PAGEREF _Toc93905399 \h </w:instrText>
        </w:r>
        <w:r w:rsidR="00065F65">
          <w:rPr>
            <w:webHidden/>
          </w:rPr>
        </w:r>
        <w:r w:rsidR="00065F65">
          <w:rPr>
            <w:webHidden/>
          </w:rPr>
          <w:fldChar w:fldCharType="separate"/>
        </w:r>
        <w:r w:rsidR="00065F65">
          <w:rPr>
            <w:webHidden/>
          </w:rPr>
          <w:t>23</w:t>
        </w:r>
        <w:r w:rsidR="00065F65">
          <w:rPr>
            <w:webHidden/>
          </w:rPr>
          <w:fldChar w:fldCharType="end"/>
        </w:r>
      </w:hyperlink>
    </w:p>
    <w:p w14:paraId="69040FFE" w14:textId="41673A67" w:rsidR="00065F65" w:rsidRDefault="000B7BDC">
      <w:pPr>
        <w:pStyle w:val="TOC1"/>
        <w:rPr>
          <w:rFonts w:asciiTheme="minorHAnsi" w:eastAsiaTheme="minorEastAsia" w:hAnsiTheme="minorHAnsi" w:cstheme="minorBidi"/>
          <w:b w:val="0"/>
          <w:sz w:val="22"/>
          <w:szCs w:val="22"/>
          <w:lang w:eastAsia="en-AU"/>
        </w:rPr>
      </w:pPr>
      <w:hyperlink w:anchor="_Toc93905400" w:history="1">
        <w:r w:rsidR="00065F65" w:rsidRPr="00E84834">
          <w:rPr>
            <w:rStyle w:val="Hyperlink"/>
          </w:rPr>
          <w:t>Reporting requirements</w:t>
        </w:r>
        <w:r w:rsidR="00065F65">
          <w:rPr>
            <w:webHidden/>
          </w:rPr>
          <w:tab/>
        </w:r>
        <w:r w:rsidR="00065F65">
          <w:rPr>
            <w:webHidden/>
          </w:rPr>
          <w:fldChar w:fldCharType="begin"/>
        </w:r>
        <w:r w:rsidR="00065F65">
          <w:rPr>
            <w:webHidden/>
          </w:rPr>
          <w:instrText xml:space="preserve"> PAGEREF _Toc93905400 \h </w:instrText>
        </w:r>
        <w:r w:rsidR="00065F65">
          <w:rPr>
            <w:webHidden/>
          </w:rPr>
        </w:r>
        <w:r w:rsidR="00065F65">
          <w:rPr>
            <w:webHidden/>
          </w:rPr>
          <w:fldChar w:fldCharType="separate"/>
        </w:r>
        <w:r w:rsidR="00065F65">
          <w:rPr>
            <w:webHidden/>
          </w:rPr>
          <w:t>26</w:t>
        </w:r>
        <w:r w:rsidR="00065F65">
          <w:rPr>
            <w:webHidden/>
          </w:rPr>
          <w:fldChar w:fldCharType="end"/>
        </w:r>
      </w:hyperlink>
    </w:p>
    <w:p w14:paraId="5BE66966" w14:textId="64513D73" w:rsidR="00065F65" w:rsidRDefault="000B7BDC">
      <w:pPr>
        <w:pStyle w:val="TOC2"/>
        <w:rPr>
          <w:rFonts w:asciiTheme="minorHAnsi" w:eastAsiaTheme="minorEastAsia" w:hAnsiTheme="minorHAnsi" w:cstheme="minorBidi"/>
          <w:sz w:val="22"/>
          <w:szCs w:val="22"/>
          <w:lang w:eastAsia="en-AU"/>
        </w:rPr>
      </w:pPr>
      <w:hyperlink w:anchor="_Toc93905401" w:history="1">
        <w:r w:rsidR="00065F65" w:rsidRPr="00E84834">
          <w:rPr>
            <w:rStyle w:val="Hyperlink"/>
          </w:rPr>
          <w:t>Required Reporting</w:t>
        </w:r>
        <w:r w:rsidR="00065F65">
          <w:rPr>
            <w:webHidden/>
          </w:rPr>
          <w:tab/>
        </w:r>
        <w:r w:rsidR="00065F65">
          <w:rPr>
            <w:webHidden/>
          </w:rPr>
          <w:fldChar w:fldCharType="begin"/>
        </w:r>
        <w:r w:rsidR="00065F65">
          <w:rPr>
            <w:webHidden/>
          </w:rPr>
          <w:instrText xml:space="preserve"> PAGEREF _Toc93905401 \h </w:instrText>
        </w:r>
        <w:r w:rsidR="00065F65">
          <w:rPr>
            <w:webHidden/>
          </w:rPr>
        </w:r>
        <w:r w:rsidR="00065F65">
          <w:rPr>
            <w:webHidden/>
          </w:rPr>
          <w:fldChar w:fldCharType="separate"/>
        </w:r>
        <w:r w:rsidR="00065F65">
          <w:rPr>
            <w:webHidden/>
          </w:rPr>
          <w:t>26</w:t>
        </w:r>
        <w:r w:rsidR="00065F65">
          <w:rPr>
            <w:webHidden/>
          </w:rPr>
          <w:fldChar w:fldCharType="end"/>
        </w:r>
      </w:hyperlink>
    </w:p>
    <w:p w14:paraId="31665E00" w14:textId="3A3CD40F" w:rsidR="00065F65" w:rsidRDefault="000B7BDC">
      <w:pPr>
        <w:pStyle w:val="TOC2"/>
        <w:rPr>
          <w:rFonts w:asciiTheme="minorHAnsi" w:eastAsiaTheme="minorEastAsia" w:hAnsiTheme="minorHAnsi" w:cstheme="minorBidi"/>
          <w:sz w:val="22"/>
          <w:szCs w:val="22"/>
          <w:lang w:eastAsia="en-AU"/>
        </w:rPr>
      </w:pPr>
      <w:hyperlink w:anchor="_Toc93905402" w:history="1">
        <w:r w:rsidR="00065F65" w:rsidRPr="00E84834">
          <w:rPr>
            <w:rStyle w:val="Hyperlink"/>
          </w:rPr>
          <w:t>Data and Reporting Framework</w:t>
        </w:r>
        <w:r w:rsidR="00065F65">
          <w:rPr>
            <w:webHidden/>
          </w:rPr>
          <w:tab/>
        </w:r>
        <w:r w:rsidR="00065F65">
          <w:rPr>
            <w:webHidden/>
          </w:rPr>
          <w:fldChar w:fldCharType="begin"/>
        </w:r>
        <w:r w:rsidR="00065F65">
          <w:rPr>
            <w:webHidden/>
          </w:rPr>
          <w:instrText xml:space="preserve"> PAGEREF _Toc93905402 \h </w:instrText>
        </w:r>
        <w:r w:rsidR="00065F65">
          <w:rPr>
            <w:webHidden/>
          </w:rPr>
        </w:r>
        <w:r w:rsidR="00065F65">
          <w:rPr>
            <w:webHidden/>
          </w:rPr>
          <w:fldChar w:fldCharType="separate"/>
        </w:r>
        <w:r w:rsidR="00065F65">
          <w:rPr>
            <w:webHidden/>
          </w:rPr>
          <w:t>26</w:t>
        </w:r>
        <w:r w:rsidR="00065F65">
          <w:rPr>
            <w:webHidden/>
          </w:rPr>
          <w:fldChar w:fldCharType="end"/>
        </w:r>
      </w:hyperlink>
    </w:p>
    <w:p w14:paraId="3F30E7B6" w14:textId="2EB0F923" w:rsidR="00065F65" w:rsidRDefault="000B7BDC">
      <w:pPr>
        <w:pStyle w:val="TOC2"/>
        <w:rPr>
          <w:rFonts w:asciiTheme="minorHAnsi" w:eastAsiaTheme="minorEastAsia" w:hAnsiTheme="minorHAnsi" w:cstheme="minorBidi"/>
          <w:sz w:val="22"/>
          <w:szCs w:val="22"/>
          <w:lang w:eastAsia="en-AU"/>
        </w:rPr>
      </w:pPr>
      <w:hyperlink w:anchor="_Toc93905403" w:history="1">
        <w:r w:rsidR="00065F65" w:rsidRPr="00E84834">
          <w:rPr>
            <w:rStyle w:val="Hyperlink"/>
            <w:lang w:eastAsia="en-AU"/>
          </w:rPr>
          <w:t>Reporting frequency and governance</w:t>
        </w:r>
        <w:r w:rsidR="00065F65">
          <w:rPr>
            <w:webHidden/>
          </w:rPr>
          <w:tab/>
        </w:r>
        <w:r w:rsidR="00065F65">
          <w:rPr>
            <w:webHidden/>
          </w:rPr>
          <w:fldChar w:fldCharType="begin"/>
        </w:r>
        <w:r w:rsidR="00065F65">
          <w:rPr>
            <w:webHidden/>
          </w:rPr>
          <w:instrText xml:space="preserve"> PAGEREF _Toc93905403 \h </w:instrText>
        </w:r>
        <w:r w:rsidR="00065F65">
          <w:rPr>
            <w:webHidden/>
          </w:rPr>
        </w:r>
        <w:r w:rsidR="00065F65">
          <w:rPr>
            <w:webHidden/>
          </w:rPr>
          <w:fldChar w:fldCharType="separate"/>
        </w:r>
        <w:r w:rsidR="00065F65">
          <w:rPr>
            <w:webHidden/>
          </w:rPr>
          <w:t>26</w:t>
        </w:r>
        <w:r w:rsidR="00065F65">
          <w:rPr>
            <w:webHidden/>
          </w:rPr>
          <w:fldChar w:fldCharType="end"/>
        </w:r>
      </w:hyperlink>
    </w:p>
    <w:p w14:paraId="5236166B" w14:textId="4D9325C7" w:rsidR="00065F65" w:rsidRDefault="000B7BDC">
      <w:pPr>
        <w:pStyle w:val="TOC2"/>
        <w:rPr>
          <w:rFonts w:asciiTheme="minorHAnsi" w:eastAsiaTheme="minorEastAsia" w:hAnsiTheme="minorHAnsi" w:cstheme="minorBidi"/>
          <w:sz w:val="22"/>
          <w:szCs w:val="22"/>
          <w:lang w:eastAsia="en-AU"/>
        </w:rPr>
      </w:pPr>
      <w:hyperlink w:anchor="_Toc93905404" w:history="1">
        <w:r w:rsidR="00065F65" w:rsidRPr="00E84834">
          <w:rPr>
            <w:rStyle w:val="Hyperlink"/>
          </w:rPr>
          <w:t>Evaluation</w:t>
        </w:r>
        <w:r w:rsidR="00065F65">
          <w:rPr>
            <w:webHidden/>
          </w:rPr>
          <w:tab/>
        </w:r>
        <w:r w:rsidR="00065F65">
          <w:rPr>
            <w:webHidden/>
          </w:rPr>
          <w:fldChar w:fldCharType="begin"/>
        </w:r>
        <w:r w:rsidR="00065F65">
          <w:rPr>
            <w:webHidden/>
          </w:rPr>
          <w:instrText xml:space="preserve"> PAGEREF _Toc93905404 \h </w:instrText>
        </w:r>
        <w:r w:rsidR="00065F65">
          <w:rPr>
            <w:webHidden/>
          </w:rPr>
        </w:r>
        <w:r w:rsidR="00065F65">
          <w:rPr>
            <w:webHidden/>
          </w:rPr>
          <w:fldChar w:fldCharType="separate"/>
        </w:r>
        <w:r w:rsidR="00065F65">
          <w:rPr>
            <w:webHidden/>
          </w:rPr>
          <w:t>27</w:t>
        </w:r>
        <w:r w:rsidR="00065F65">
          <w:rPr>
            <w:webHidden/>
          </w:rPr>
          <w:fldChar w:fldCharType="end"/>
        </w:r>
      </w:hyperlink>
    </w:p>
    <w:p w14:paraId="0006F6E5" w14:textId="1BFD36E9" w:rsidR="00065F65" w:rsidRDefault="000B7BDC">
      <w:pPr>
        <w:pStyle w:val="TOC2"/>
        <w:rPr>
          <w:rFonts w:asciiTheme="minorHAnsi" w:eastAsiaTheme="minorEastAsia" w:hAnsiTheme="minorHAnsi" w:cstheme="minorBidi"/>
          <w:sz w:val="22"/>
          <w:szCs w:val="22"/>
          <w:lang w:eastAsia="en-AU"/>
        </w:rPr>
      </w:pPr>
      <w:hyperlink w:anchor="_Toc93905405" w:history="1">
        <w:r w:rsidR="00065F65" w:rsidRPr="00E84834">
          <w:rPr>
            <w:rStyle w:val="Hyperlink"/>
            <w:lang w:eastAsia="en-AU"/>
          </w:rPr>
          <w:t>Reporting Metrics</w:t>
        </w:r>
        <w:r w:rsidR="00065F65">
          <w:rPr>
            <w:webHidden/>
          </w:rPr>
          <w:tab/>
        </w:r>
        <w:r w:rsidR="00065F65">
          <w:rPr>
            <w:webHidden/>
          </w:rPr>
          <w:fldChar w:fldCharType="begin"/>
        </w:r>
        <w:r w:rsidR="00065F65">
          <w:rPr>
            <w:webHidden/>
          </w:rPr>
          <w:instrText xml:space="preserve"> PAGEREF _Toc93905405 \h </w:instrText>
        </w:r>
        <w:r w:rsidR="00065F65">
          <w:rPr>
            <w:webHidden/>
          </w:rPr>
        </w:r>
        <w:r w:rsidR="00065F65">
          <w:rPr>
            <w:webHidden/>
          </w:rPr>
          <w:fldChar w:fldCharType="separate"/>
        </w:r>
        <w:r w:rsidR="00065F65">
          <w:rPr>
            <w:webHidden/>
          </w:rPr>
          <w:t>28</w:t>
        </w:r>
        <w:r w:rsidR="00065F65">
          <w:rPr>
            <w:webHidden/>
          </w:rPr>
          <w:fldChar w:fldCharType="end"/>
        </w:r>
      </w:hyperlink>
    </w:p>
    <w:p w14:paraId="263A5183" w14:textId="1320B8DC" w:rsidR="00065F65" w:rsidRDefault="000B7BDC">
      <w:pPr>
        <w:pStyle w:val="TOC1"/>
        <w:rPr>
          <w:rFonts w:asciiTheme="minorHAnsi" w:eastAsiaTheme="minorEastAsia" w:hAnsiTheme="minorHAnsi" w:cstheme="minorBidi"/>
          <w:b w:val="0"/>
          <w:sz w:val="22"/>
          <w:szCs w:val="22"/>
          <w:lang w:eastAsia="en-AU"/>
        </w:rPr>
      </w:pPr>
      <w:hyperlink w:anchor="_Toc93905406" w:history="1">
        <w:r w:rsidR="00065F65" w:rsidRPr="00E84834">
          <w:rPr>
            <w:rStyle w:val="Hyperlink"/>
          </w:rPr>
          <w:t>Other requirements</w:t>
        </w:r>
        <w:r w:rsidR="00065F65">
          <w:rPr>
            <w:webHidden/>
          </w:rPr>
          <w:tab/>
        </w:r>
        <w:r w:rsidR="00065F65">
          <w:rPr>
            <w:webHidden/>
          </w:rPr>
          <w:fldChar w:fldCharType="begin"/>
        </w:r>
        <w:r w:rsidR="00065F65">
          <w:rPr>
            <w:webHidden/>
          </w:rPr>
          <w:instrText xml:space="preserve"> PAGEREF _Toc93905406 \h </w:instrText>
        </w:r>
        <w:r w:rsidR="00065F65">
          <w:rPr>
            <w:webHidden/>
          </w:rPr>
        </w:r>
        <w:r w:rsidR="00065F65">
          <w:rPr>
            <w:webHidden/>
          </w:rPr>
          <w:fldChar w:fldCharType="separate"/>
        </w:r>
        <w:r w:rsidR="00065F65">
          <w:rPr>
            <w:webHidden/>
          </w:rPr>
          <w:t>33</w:t>
        </w:r>
        <w:r w:rsidR="00065F65">
          <w:rPr>
            <w:webHidden/>
          </w:rPr>
          <w:fldChar w:fldCharType="end"/>
        </w:r>
      </w:hyperlink>
    </w:p>
    <w:p w14:paraId="2655C969" w14:textId="09AD5B3C" w:rsidR="00065F65" w:rsidRDefault="000B7BDC">
      <w:pPr>
        <w:pStyle w:val="TOC2"/>
        <w:rPr>
          <w:rFonts w:asciiTheme="minorHAnsi" w:eastAsiaTheme="minorEastAsia" w:hAnsiTheme="minorHAnsi" w:cstheme="minorBidi"/>
          <w:sz w:val="22"/>
          <w:szCs w:val="22"/>
          <w:lang w:eastAsia="en-AU"/>
        </w:rPr>
      </w:pPr>
      <w:hyperlink w:anchor="_Toc93905407" w:history="1">
        <w:r w:rsidR="00065F65" w:rsidRPr="00E84834">
          <w:rPr>
            <w:rStyle w:val="Hyperlink"/>
          </w:rPr>
          <w:t>Funding model</w:t>
        </w:r>
        <w:r w:rsidR="00065F65">
          <w:rPr>
            <w:webHidden/>
          </w:rPr>
          <w:tab/>
        </w:r>
        <w:r w:rsidR="00065F65">
          <w:rPr>
            <w:webHidden/>
          </w:rPr>
          <w:fldChar w:fldCharType="begin"/>
        </w:r>
        <w:r w:rsidR="00065F65">
          <w:rPr>
            <w:webHidden/>
          </w:rPr>
          <w:instrText xml:space="preserve"> PAGEREF _Toc93905407 \h </w:instrText>
        </w:r>
        <w:r w:rsidR="00065F65">
          <w:rPr>
            <w:webHidden/>
          </w:rPr>
        </w:r>
        <w:r w:rsidR="00065F65">
          <w:rPr>
            <w:webHidden/>
          </w:rPr>
          <w:fldChar w:fldCharType="separate"/>
        </w:r>
        <w:r w:rsidR="00065F65">
          <w:rPr>
            <w:webHidden/>
          </w:rPr>
          <w:t>33</w:t>
        </w:r>
        <w:r w:rsidR="00065F65">
          <w:rPr>
            <w:webHidden/>
          </w:rPr>
          <w:fldChar w:fldCharType="end"/>
        </w:r>
      </w:hyperlink>
    </w:p>
    <w:p w14:paraId="441C98D0" w14:textId="5EDE4DF1" w:rsidR="00065F65" w:rsidRDefault="000B7BDC">
      <w:pPr>
        <w:pStyle w:val="TOC2"/>
        <w:rPr>
          <w:rFonts w:asciiTheme="minorHAnsi" w:eastAsiaTheme="minorEastAsia" w:hAnsiTheme="minorHAnsi" w:cstheme="minorBidi"/>
          <w:sz w:val="22"/>
          <w:szCs w:val="22"/>
          <w:lang w:eastAsia="en-AU"/>
        </w:rPr>
      </w:pPr>
      <w:hyperlink w:anchor="_Toc93905408" w:history="1">
        <w:r w:rsidR="00065F65" w:rsidRPr="00E84834">
          <w:rPr>
            <w:rStyle w:val="Hyperlink"/>
          </w:rPr>
          <w:t>Information Sharing and Privacy</w:t>
        </w:r>
        <w:r w:rsidR="00065F65">
          <w:rPr>
            <w:webHidden/>
          </w:rPr>
          <w:tab/>
        </w:r>
        <w:r w:rsidR="00065F65">
          <w:rPr>
            <w:webHidden/>
          </w:rPr>
          <w:fldChar w:fldCharType="begin"/>
        </w:r>
        <w:r w:rsidR="00065F65">
          <w:rPr>
            <w:webHidden/>
          </w:rPr>
          <w:instrText xml:space="preserve"> PAGEREF _Toc93905408 \h </w:instrText>
        </w:r>
        <w:r w:rsidR="00065F65">
          <w:rPr>
            <w:webHidden/>
          </w:rPr>
        </w:r>
        <w:r w:rsidR="00065F65">
          <w:rPr>
            <w:webHidden/>
          </w:rPr>
          <w:fldChar w:fldCharType="separate"/>
        </w:r>
        <w:r w:rsidR="00065F65">
          <w:rPr>
            <w:webHidden/>
          </w:rPr>
          <w:t>34</w:t>
        </w:r>
        <w:r w:rsidR="00065F65">
          <w:rPr>
            <w:webHidden/>
          </w:rPr>
          <w:fldChar w:fldCharType="end"/>
        </w:r>
      </w:hyperlink>
    </w:p>
    <w:p w14:paraId="181F2AF9" w14:textId="00080AE5" w:rsidR="00065F65" w:rsidRDefault="000B7BDC">
      <w:pPr>
        <w:pStyle w:val="TOC2"/>
        <w:rPr>
          <w:rFonts w:asciiTheme="minorHAnsi" w:eastAsiaTheme="minorEastAsia" w:hAnsiTheme="minorHAnsi" w:cstheme="minorBidi"/>
          <w:sz w:val="22"/>
          <w:szCs w:val="22"/>
          <w:lang w:eastAsia="en-AU"/>
        </w:rPr>
      </w:pPr>
      <w:hyperlink w:anchor="_Toc93905409" w:history="1">
        <w:r w:rsidR="00065F65" w:rsidRPr="00E84834">
          <w:rPr>
            <w:rStyle w:val="Hyperlink"/>
          </w:rPr>
          <w:t>Incident Reporting</w:t>
        </w:r>
        <w:r w:rsidR="00065F65">
          <w:rPr>
            <w:webHidden/>
          </w:rPr>
          <w:tab/>
        </w:r>
        <w:r w:rsidR="00065F65">
          <w:rPr>
            <w:webHidden/>
          </w:rPr>
          <w:fldChar w:fldCharType="begin"/>
        </w:r>
        <w:r w:rsidR="00065F65">
          <w:rPr>
            <w:webHidden/>
          </w:rPr>
          <w:instrText xml:space="preserve"> PAGEREF _Toc93905409 \h </w:instrText>
        </w:r>
        <w:r w:rsidR="00065F65">
          <w:rPr>
            <w:webHidden/>
          </w:rPr>
        </w:r>
        <w:r w:rsidR="00065F65">
          <w:rPr>
            <w:webHidden/>
          </w:rPr>
          <w:fldChar w:fldCharType="separate"/>
        </w:r>
        <w:r w:rsidR="00065F65">
          <w:rPr>
            <w:webHidden/>
          </w:rPr>
          <w:t>34</w:t>
        </w:r>
        <w:r w:rsidR="00065F65">
          <w:rPr>
            <w:webHidden/>
          </w:rPr>
          <w:fldChar w:fldCharType="end"/>
        </w:r>
      </w:hyperlink>
    </w:p>
    <w:p w14:paraId="7EC049E7" w14:textId="2F791718" w:rsidR="00065F65" w:rsidRDefault="000B7BDC">
      <w:pPr>
        <w:pStyle w:val="TOC2"/>
        <w:rPr>
          <w:rFonts w:asciiTheme="minorHAnsi" w:eastAsiaTheme="minorEastAsia" w:hAnsiTheme="minorHAnsi" w:cstheme="minorBidi"/>
          <w:sz w:val="22"/>
          <w:szCs w:val="22"/>
          <w:lang w:eastAsia="en-AU"/>
        </w:rPr>
      </w:pPr>
      <w:hyperlink w:anchor="_Toc93905410" w:history="1">
        <w:r w:rsidR="00065F65" w:rsidRPr="00E84834">
          <w:rPr>
            <w:rStyle w:val="Hyperlink"/>
          </w:rPr>
          <w:t>Service agreement and Statement of Priorities arrangements</w:t>
        </w:r>
        <w:r w:rsidR="00065F65">
          <w:rPr>
            <w:webHidden/>
          </w:rPr>
          <w:tab/>
        </w:r>
        <w:r w:rsidR="00065F65">
          <w:rPr>
            <w:webHidden/>
          </w:rPr>
          <w:fldChar w:fldCharType="begin"/>
        </w:r>
        <w:r w:rsidR="00065F65">
          <w:rPr>
            <w:webHidden/>
          </w:rPr>
          <w:instrText xml:space="preserve"> PAGEREF _Toc93905410 \h </w:instrText>
        </w:r>
        <w:r w:rsidR="00065F65">
          <w:rPr>
            <w:webHidden/>
          </w:rPr>
        </w:r>
        <w:r w:rsidR="00065F65">
          <w:rPr>
            <w:webHidden/>
          </w:rPr>
          <w:fldChar w:fldCharType="separate"/>
        </w:r>
        <w:r w:rsidR="00065F65">
          <w:rPr>
            <w:webHidden/>
          </w:rPr>
          <w:t>35</w:t>
        </w:r>
        <w:r w:rsidR="00065F65">
          <w:rPr>
            <w:webHidden/>
          </w:rPr>
          <w:fldChar w:fldCharType="end"/>
        </w:r>
      </w:hyperlink>
    </w:p>
    <w:p w14:paraId="31E00CA5" w14:textId="4C613A49" w:rsidR="00065F65" w:rsidRDefault="000B7BDC">
      <w:pPr>
        <w:pStyle w:val="TOC2"/>
        <w:rPr>
          <w:rFonts w:asciiTheme="minorHAnsi" w:eastAsiaTheme="minorEastAsia" w:hAnsiTheme="minorHAnsi" w:cstheme="minorBidi"/>
          <w:sz w:val="22"/>
          <w:szCs w:val="22"/>
          <w:lang w:eastAsia="en-AU"/>
        </w:rPr>
      </w:pPr>
      <w:hyperlink w:anchor="_Toc93905411" w:history="1">
        <w:r w:rsidR="00065F65" w:rsidRPr="00E84834">
          <w:rPr>
            <w:rStyle w:val="Hyperlink"/>
          </w:rPr>
          <w:t>Accreditation</w:t>
        </w:r>
        <w:r w:rsidR="00065F65">
          <w:rPr>
            <w:webHidden/>
          </w:rPr>
          <w:tab/>
        </w:r>
        <w:r w:rsidR="00065F65">
          <w:rPr>
            <w:webHidden/>
          </w:rPr>
          <w:fldChar w:fldCharType="begin"/>
        </w:r>
        <w:r w:rsidR="00065F65">
          <w:rPr>
            <w:webHidden/>
          </w:rPr>
          <w:instrText xml:space="preserve"> PAGEREF _Toc93905411 \h </w:instrText>
        </w:r>
        <w:r w:rsidR="00065F65">
          <w:rPr>
            <w:webHidden/>
          </w:rPr>
        </w:r>
        <w:r w:rsidR="00065F65">
          <w:rPr>
            <w:webHidden/>
          </w:rPr>
          <w:fldChar w:fldCharType="separate"/>
        </w:r>
        <w:r w:rsidR="00065F65">
          <w:rPr>
            <w:webHidden/>
          </w:rPr>
          <w:t>35</w:t>
        </w:r>
        <w:r w:rsidR="00065F65">
          <w:rPr>
            <w:webHidden/>
          </w:rPr>
          <w:fldChar w:fldCharType="end"/>
        </w:r>
      </w:hyperlink>
    </w:p>
    <w:p w14:paraId="7B51D4CE" w14:textId="46826EAF" w:rsidR="00065F65" w:rsidRDefault="000B7BDC">
      <w:pPr>
        <w:pStyle w:val="TOC2"/>
        <w:rPr>
          <w:rFonts w:asciiTheme="minorHAnsi" w:eastAsiaTheme="minorEastAsia" w:hAnsiTheme="minorHAnsi" w:cstheme="minorBidi"/>
          <w:sz w:val="22"/>
          <w:szCs w:val="22"/>
          <w:lang w:eastAsia="en-AU"/>
        </w:rPr>
      </w:pPr>
      <w:hyperlink w:anchor="_Toc93905412" w:history="1">
        <w:r w:rsidR="00065F65" w:rsidRPr="00E84834">
          <w:rPr>
            <w:rStyle w:val="Hyperlink"/>
          </w:rPr>
          <w:t>Applicable guidance</w:t>
        </w:r>
        <w:r w:rsidR="00065F65">
          <w:rPr>
            <w:webHidden/>
          </w:rPr>
          <w:tab/>
        </w:r>
        <w:r w:rsidR="00065F65">
          <w:rPr>
            <w:webHidden/>
          </w:rPr>
          <w:fldChar w:fldCharType="begin"/>
        </w:r>
        <w:r w:rsidR="00065F65">
          <w:rPr>
            <w:webHidden/>
          </w:rPr>
          <w:instrText xml:space="preserve"> PAGEREF _Toc93905412 \h </w:instrText>
        </w:r>
        <w:r w:rsidR="00065F65">
          <w:rPr>
            <w:webHidden/>
          </w:rPr>
        </w:r>
        <w:r w:rsidR="00065F65">
          <w:rPr>
            <w:webHidden/>
          </w:rPr>
          <w:fldChar w:fldCharType="separate"/>
        </w:r>
        <w:r w:rsidR="00065F65">
          <w:rPr>
            <w:webHidden/>
          </w:rPr>
          <w:t>36</w:t>
        </w:r>
        <w:r w:rsidR="00065F65">
          <w:rPr>
            <w:webHidden/>
          </w:rPr>
          <w:fldChar w:fldCharType="end"/>
        </w:r>
      </w:hyperlink>
    </w:p>
    <w:p w14:paraId="0D5DCBE4" w14:textId="40BE15C3" w:rsidR="00065F65" w:rsidRDefault="000B7BDC">
      <w:pPr>
        <w:pStyle w:val="TOC1"/>
        <w:rPr>
          <w:rFonts w:asciiTheme="minorHAnsi" w:eastAsiaTheme="minorEastAsia" w:hAnsiTheme="minorHAnsi" w:cstheme="minorBidi"/>
          <w:b w:val="0"/>
          <w:sz w:val="22"/>
          <w:szCs w:val="22"/>
          <w:lang w:eastAsia="en-AU"/>
        </w:rPr>
      </w:pPr>
      <w:hyperlink w:anchor="_Toc93905413" w:history="1">
        <w:r w:rsidR="00065F65" w:rsidRPr="00E84834">
          <w:rPr>
            <w:rStyle w:val="Hyperlink"/>
          </w:rPr>
          <w:t>Appendices</w:t>
        </w:r>
        <w:r w:rsidR="00065F65">
          <w:rPr>
            <w:webHidden/>
          </w:rPr>
          <w:tab/>
        </w:r>
        <w:r w:rsidR="00065F65">
          <w:rPr>
            <w:webHidden/>
          </w:rPr>
          <w:fldChar w:fldCharType="begin"/>
        </w:r>
        <w:r w:rsidR="00065F65">
          <w:rPr>
            <w:webHidden/>
          </w:rPr>
          <w:instrText xml:space="preserve"> PAGEREF _Toc93905413 \h </w:instrText>
        </w:r>
        <w:r w:rsidR="00065F65">
          <w:rPr>
            <w:webHidden/>
          </w:rPr>
        </w:r>
        <w:r w:rsidR="00065F65">
          <w:rPr>
            <w:webHidden/>
          </w:rPr>
          <w:fldChar w:fldCharType="separate"/>
        </w:r>
        <w:r w:rsidR="00065F65">
          <w:rPr>
            <w:webHidden/>
          </w:rPr>
          <w:t>37</w:t>
        </w:r>
        <w:r w:rsidR="00065F65">
          <w:rPr>
            <w:webHidden/>
          </w:rPr>
          <w:fldChar w:fldCharType="end"/>
        </w:r>
      </w:hyperlink>
    </w:p>
    <w:p w14:paraId="6263906A" w14:textId="39A01AEC" w:rsidR="00065F65" w:rsidRDefault="000B7BDC">
      <w:pPr>
        <w:pStyle w:val="TOC2"/>
        <w:rPr>
          <w:rFonts w:asciiTheme="minorHAnsi" w:eastAsiaTheme="minorEastAsia" w:hAnsiTheme="minorHAnsi" w:cstheme="minorBidi"/>
          <w:sz w:val="22"/>
          <w:szCs w:val="22"/>
          <w:lang w:eastAsia="en-AU"/>
        </w:rPr>
      </w:pPr>
      <w:hyperlink w:anchor="_Toc93905414" w:history="1">
        <w:r w:rsidR="00065F65" w:rsidRPr="00E84834">
          <w:rPr>
            <w:rStyle w:val="Hyperlink"/>
          </w:rPr>
          <w:t>Appendix 1: Sample Terms of Reference, Agenda Template and Minutes Format for a Catchment Leadership Group</w:t>
        </w:r>
        <w:r w:rsidR="00065F65">
          <w:rPr>
            <w:webHidden/>
          </w:rPr>
          <w:tab/>
        </w:r>
        <w:r w:rsidR="00065F65">
          <w:rPr>
            <w:webHidden/>
          </w:rPr>
          <w:fldChar w:fldCharType="begin"/>
        </w:r>
        <w:r w:rsidR="00065F65">
          <w:rPr>
            <w:webHidden/>
          </w:rPr>
          <w:instrText xml:space="preserve"> PAGEREF _Toc93905414 \h </w:instrText>
        </w:r>
        <w:r w:rsidR="00065F65">
          <w:rPr>
            <w:webHidden/>
          </w:rPr>
        </w:r>
        <w:r w:rsidR="00065F65">
          <w:rPr>
            <w:webHidden/>
          </w:rPr>
          <w:fldChar w:fldCharType="separate"/>
        </w:r>
        <w:r w:rsidR="00065F65">
          <w:rPr>
            <w:webHidden/>
          </w:rPr>
          <w:t>38</w:t>
        </w:r>
        <w:r w:rsidR="00065F65">
          <w:rPr>
            <w:webHidden/>
          </w:rPr>
          <w:fldChar w:fldCharType="end"/>
        </w:r>
      </w:hyperlink>
    </w:p>
    <w:p w14:paraId="20A82141" w14:textId="1636CC11" w:rsidR="00065F65" w:rsidRDefault="000B7BDC">
      <w:pPr>
        <w:pStyle w:val="TOC2"/>
        <w:rPr>
          <w:rFonts w:asciiTheme="minorHAnsi" w:eastAsiaTheme="minorEastAsia" w:hAnsiTheme="minorHAnsi" w:cstheme="minorBidi"/>
          <w:sz w:val="22"/>
          <w:szCs w:val="22"/>
          <w:lang w:eastAsia="en-AU"/>
        </w:rPr>
      </w:pPr>
      <w:hyperlink w:anchor="_Toc93905415" w:history="1">
        <w:r w:rsidR="00065F65" w:rsidRPr="00E84834">
          <w:rPr>
            <w:rStyle w:val="Hyperlink"/>
          </w:rPr>
          <w:t>Appendix 2: Tier based operating model</w:t>
        </w:r>
        <w:r w:rsidR="00065F65">
          <w:rPr>
            <w:webHidden/>
          </w:rPr>
          <w:tab/>
        </w:r>
        <w:r w:rsidR="00065F65">
          <w:rPr>
            <w:webHidden/>
          </w:rPr>
          <w:fldChar w:fldCharType="begin"/>
        </w:r>
        <w:r w:rsidR="00065F65">
          <w:rPr>
            <w:webHidden/>
          </w:rPr>
          <w:instrText xml:space="preserve"> PAGEREF _Toc93905415 \h </w:instrText>
        </w:r>
        <w:r w:rsidR="00065F65">
          <w:rPr>
            <w:webHidden/>
          </w:rPr>
        </w:r>
        <w:r w:rsidR="00065F65">
          <w:rPr>
            <w:webHidden/>
          </w:rPr>
          <w:fldChar w:fldCharType="separate"/>
        </w:r>
        <w:r w:rsidR="00065F65">
          <w:rPr>
            <w:webHidden/>
          </w:rPr>
          <w:t>43</w:t>
        </w:r>
        <w:r w:rsidR="00065F65">
          <w:rPr>
            <w:webHidden/>
          </w:rPr>
          <w:fldChar w:fldCharType="end"/>
        </w:r>
      </w:hyperlink>
    </w:p>
    <w:p w14:paraId="6D107FEB" w14:textId="6FD82BA3" w:rsidR="00065F65" w:rsidRDefault="000B7BDC">
      <w:pPr>
        <w:pStyle w:val="TOC2"/>
        <w:rPr>
          <w:rFonts w:asciiTheme="minorHAnsi" w:eastAsiaTheme="minorEastAsia" w:hAnsiTheme="minorHAnsi" w:cstheme="minorBidi"/>
          <w:sz w:val="22"/>
          <w:szCs w:val="22"/>
          <w:lang w:eastAsia="en-AU"/>
        </w:rPr>
      </w:pPr>
      <w:hyperlink w:anchor="_Toc93905416" w:history="1">
        <w:r w:rsidR="00065F65" w:rsidRPr="00E84834">
          <w:rPr>
            <w:rStyle w:val="Hyperlink"/>
          </w:rPr>
          <w:t>Appendix 3: Contract Specifications</w:t>
        </w:r>
        <w:r w:rsidR="00065F65">
          <w:rPr>
            <w:webHidden/>
          </w:rPr>
          <w:tab/>
        </w:r>
        <w:r w:rsidR="00065F65">
          <w:rPr>
            <w:webHidden/>
          </w:rPr>
          <w:fldChar w:fldCharType="begin"/>
        </w:r>
        <w:r w:rsidR="00065F65">
          <w:rPr>
            <w:webHidden/>
          </w:rPr>
          <w:instrText xml:space="preserve"> PAGEREF _Toc93905416 \h </w:instrText>
        </w:r>
        <w:r w:rsidR="00065F65">
          <w:rPr>
            <w:webHidden/>
          </w:rPr>
        </w:r>
        <w:r w:rsidR="00065F65">
          <w:rPr>
            <w:webHidden/>
          </w:rPr>
          <w:fldChar w:fldCharType="separate"/>
        </w:r>
        <w:r w:rsidR="00065F65">
          <w:rPr>
            <w:webHidden/>
          </w:rPr>
          <w:t>51</w:t>
        </w:r>
        <w:r w:rsidR="00065F65">
          <w:rPr>
            <w:webHidden/>
          </w:rPr>
          <w:fldChar w:fldCharType="end"/>
        </w:r>
      </w:hyperlink>
    </w:p>
    <w:p w14:paraId="2D085B40" w14:textId="24CF5ADC" w:rsidR="00065F65" w:rsidRDefault="000B7BDC">
      <w:pPr>
        <w:pStyle w:val="TOC2"/>
        <w:rPr>
          <w:rFonts w:asciiTheme="minorHAnsi" w:eastAsiaTheme="minorEastAsia" w:hAnsiTheme="minorHAnsi" w:cstheme="minorBidi"/>
          <w:sz w:val="22"/>
          <w:szCs w:val="22"/>
          <w:lang w:eastAsia="en-AU"/>
        </w:rPr>
      </w:pPr>
      <w:hyperlink w:anchor="_Toc93905417" w:history="1">
        <w:r w:rsidR="00065F65" w:rsidRPr="00E84834">
          <w:rPr>
            <w:rStyle w:val="Hyperlink"/>
          </w:rPr>
          <w:t>Appendix 4: Incident reporting systems</w:t>
        </w:r>
        <w:r w:rsidR="00065F65">
          <w:rPr>
            <w:webHidden/>
          </w:rPr>
          <w:tab/>
        </w:r>
        <w:r w:rsidR="00065F65">
          <w:rPr>
            <w:webHidden/>
          </w:rPr>
          <w:fldChar w:fldCharType="begin"/>
        </w:r>
        <w:r w:rsidR="00065F65">
          <w:rPr>
            <w:webHidden/>
          </w:rPr>
          <w:instrText xml:space="preserve"> PAGEREF _Toc93905417 \h </w:instrText>
        </w:r>
        <w:r w:rsidR="00065F65">
          <w:rPr>
            <w:webHidden/>
          </w:rPr>
        </w:r>
        <w:r w:rsidR="00065F65">
          <w:rPr>
            <w:webHidden/>
          </w:rPr>
          <w:fldChar w:fldCharType="separate"/>
        </w:r>
        <w:r w:rsidR="00065F65">
          <w:rPr>
            <w:webHidden/>
          </w:rPr>
          <w:t>54</w:t>
        </w:r>
        <w:r w:rsidR="00065F65">
          <w:rPr>
            <w:webHidden/>
          </w:rPr>
          <w:fldChar w:fldCharType="end"/>
        </w:r>
      </w:hyperlink>
    </w:p>
    <w:p w14:paraId="34A169E9" w14:textId="0D690368" w:rsidR="00065F65" w:rsidRDefault="000B7BDC">
      <w:pPr>
        <w:pStyle w:val="TOC2"/>
        <w:rPr>
          <w:rFonts w:asciiTheme="minorHAnsi" w:eastAsiaTheme="minorEastAsia" w:hAnsiTheme="minorHAnsi" w:cstheme="minorBidi"/>
          <w:sz w:val="22"/>
          <w:szCs w:val="22"/>
          <w:lang w:eastAsia="en-AU"/>
        </w:rPr>
      </w:pPr>
      <w:hyperlink w:anchor="_Toc93905418" w:history="1">
        <w:r w:rsidR="00065F65" w:rsidRPr="00E84834">
          <w:rPr>
            <w:rStyle w:val="Hyperlink"/>
          </w:rPr>
          <w:t>Appendix 5: Data Reporting Templates</w:t>
        </w:r>
        <w:r w:rsidR="00065F65">
          <w:rPr>
            <w:webHidden/>
          </w:rPr>
          <w:tab/>
        </w:r>
        <w:r w:rsidR="00065F65">
          <w:rPr>
            <w:webHidden/>
          </w:rPr>
          <w:fldChar w:fldCharType="begin"/>
        </w:r>
        <w:r w:rsidR="00065F65">
          <w:rPr>
            <w:webHidden/>
          </w:rPr>
          <w:instrText xml:space="preserve"> PAGEREF _Toc93905418 \h </w:instrText>
        </w:r>
        <w:r w:rsidR="00065F65">
          <w:rPr>
            <w:webHidden/>
          </w:rPr>
        </w:r>
        <w:r w:rsidR="00065F65">
          <w:rPr>
            <w:webHidden/>
          </w:rPr>
          <w:fldChar w:fldCharType="separate"/>
        </w:r>
        <w:r w:rsidR="00065F65">
          <w:rPr>
            <w:webHidden/>
          </w:rPr>
          <w:t>55</w:t>
        </w:r>
        <w:r w:rsidR="00065F65">
          <w:rPr>
            <w:webHidden/>
          </w:rPr>
          <w:fldChar w:fldCharType="end"/>
        </w:r>
      </w:hyperlink>
    </w:p>
    <w:p w14:paraId="2F68EA4F" w14:textId="6C6A5208" w:rsidR="00065F65" w:rsidRDefault="000B7BDC">
      <w:pPr>
        <w:pStyle w:val="TOC2"/>
        <w:rPr>
          <w:rFonts w:asciiTheme="minorHAnsi" w:eastAsiaTheme="minorEastAsia" w:hAnsiTheme="minorHAnsi" w:cstheme="minorBidi"/>
          <w:sz w:val="22"/>
          <w:szCs w:val="22"/>
          <w:lang w:eastAsia="en-AU"/>
        </w:rPr>
      </w:pPr>
      <w:hyperlink w:anchor="_Toc93905419" w:history="1">
        <w:r w:rsidR="00065F65" w:rsidRPr="00E84834">
          <w:rPr>
            <w:rStyle w:val="Hyperlink"/>
          </w:rPr>
          <w:t>Appendix 6: Service Mapping</w:t>
        </w:r>
        <w:r w:rsidR="00065F65">
          <w:rPr>
            <w:webHidden/>
          </w:rPr>
          <w:tab/>
        </w:r>
        <w:r w:rsidR="00065F65">
          <w:rPr>
            <w:webHidden/>
          </w:rPr>
          <w:fldChar w:fldCharType="begin"/>
        </w:r>
        <w:r w:rsidR="00065F65">
          <w:rPr>
            <w:webHidden/>
          </w:rPr>
          <w:instrText xml:space="preserve"> PAGEREF _Toc93905419 \h </w:instrText>
        </w:r>
        <w:r w:rsidR="00065F65">
          <w:rPr>
            <w:webHidden/>
          </w:rPr>
        </w:r>
        <w:r w:rsidR="00065F65">
          <w:rPr>
            <w:webHidden/>
          </w:rPr>
          <w:fldChar w:fldCharType="separate"/>
        </w:r>
        <w:r w:rsidR="00065F65">
          <w:rPr>
            <w:webHidden/>
          </w:rPr>
          <w:t>69</w:t>
        </w:r>
        <w:r w:rsidR="00065F65">
          <w:rPr>
            <w:webHidden/>
          </w:rPr>
          <w:fldChar w:fldCharType="end"/>
        </w:r>
      </w:hyperlink>
    </w:p>
    <w:p w14:paraId="66F1AA4B" w14:textId="19938478" w:rsidR="00065F65" w:rsidRDefault="000B7BDC">
      <w:pPr>
        <w:pStyle w:val="TOC2"/>
        <w:rPr>
          <w:rFonts w:asciiTheme="minorHAnsi" w:eastAsiaTheme="minorEastAsia" w:hAnsiTheme="minorHAnsi" w:cstheme="minorBidi"/>
          <w:sz w:val="22"/>
          <w:szCs w:val="22"/>
          <w:lang w:eastAsia="en-AU"/>
        </w:rPr>
      </w:pPr>
      <w:hyperlink w:anchor="_Toc93905420" w:history="1">
        <w:r w:rsidR="00065F65" w:rsidRPr="00E84834">
          <w:rPr>
            <w:rStyle w:val="Hyperlink"/>
          </w:rPr>
          <w:t>Appendix 7: Glossary</w:t>
        </w:r>
        <w:r w:rsidR="00065F65">
          <w:rPr>
            <w:webHidden/>
          </w:rPr>
          <w:tab/>
        </w:r>
        <w:r w:rsidR="00065F65">
          <w:rPr>
            <w:webHidden/>
          </w:rPr>
          <w:fldChar w:fldCharType="begin"/>
        </w:r>
        <w:r w:rsidR="00065F65">
          <w:rPr>
            <w:webHidden/>
          </w:rPr>
          <w:instrText xml:space="preserve"> PAGEREF _Toc93905420 \h </w:instrText>
        </w:r>
        <w:r w:rsidR="00065F65">
          <w:rPr>
            <w:webHidden/>
          </w:rPr>
        </w:r>
        <w:r w:rsidR="00065F65">
          <w:rPr>
            <w:webHidden/>
          </w:rPr>
          <w:fldChar w:fldCharType="separate"/>
        </w:r>
        <w:r w:rsidR="00065F65">
          <w:rPr>
            <w:webHidden/>
          </w:rPr>
          <w:t>90</w:t>
        </w:r>
        <w:r w:rsidR="00065F65">
          <w:rPr>
            <w:webHidden/>
          </w:rPr>
          <w:fldChar w:fldCharType="end"/>
        </w:r>
      </w:hyperlink>
    </w:p>
    <w:p w14:paraId="42C49055" w14:textId="601EF807" w:rsidR="00FB1F6E" w:rsidRDefault="00AD784C" w:rsidP="0041007D">
      <w:pPr>
        <w:pStyle w:val="Body"/>
      </w:pPr>
      <w:r>
        <w:fldChar w:fldCharType="end"/>
      </w:r>
    </w:p>
    <w:p w14:paraId="56D509EB" w14:textId="77777777" w:rsidR="00FB1F6E" w:rsidRDefault="00FB1F6E">
      <w:pPr>
        <w:spacing w:after="0" w:line="240" w:lineRule="auto"/>
        <w:rPr>
          <w:rFonts w:eastAsia="Times"/>
        </w:rPr>
      </w:pPr>
      <w:r>
        <w:br w:type="page"/>
      </w:r>
    </w:p>
    <w:p w14:paraId="09E1E4B3" w14:textId="77777777" w:rsidR="00580394" w:rsidRPr="00B519CD" w:rsidRDefault="00580394" w:rsidP="0041007D">
      <w:pPr>
        <w:pStyle w:val="Body"/>
        <w:sectPr w:rsidR="00580394" w:rsidRPr="00B519CD" w:rsidSect="00F125A7">
          <w:footerReference w:type="default" r:id="rId16"/>
          <w:pgSz w:w="11906" w:h="16838" w:code="9"/>
          <w:pgMar w:top="1701" w:right="1304" w:bottom="1418" w:left="1304" w:header="680" w:footer="851" w:gutter="0"/>
          <w:cols w:space="340"/>
          <w:docGrid w:linePitch="360"/>
        </w:sectPr>
      </w:pPr>
    </w:p>
    <w:p w14:paraId="43287790" w14:textId="4D10AACD" w:rsidR="00EE29AD" w:rsidRPr="00546895" w:rsidRDefault="00780820" w:rsidP="00F37BD2">
      <w:pPr>
        <w:pStyle w:val="Heading1"/>
      </w:pPr>
      <w:bookmarkStart w:id="1" w:name="_Toc93905378"/>
      <w:r w:rsidRPr="00546895">
        <w:lastRenderedPageBreak/>
        <w:t>Aboriginal Acknowledgement</w:t>
      </w:r>
      <w:bookmarkEnd w:id="1"/>
      <w:r w:rsidRPr="00546895">
        <w:t xml:space="preserve"> </w:t>
      </w:r>
    </w:p>
    <w:p w14:paraId="34A3EE81" w14:textId="77777777" w:rsidR="00780820" w:rsidRPr="00ED2953" w:rsidRDefault="00780820" w:rsidP="00ED2953">
      <w:pPr>
        <w:pStyle w:val="DHHSbody"/>
        <w:rPr>
          <w:rStyle w:val="normaltextrun"/>
        </w:rPr>
      </w:pPr>
      <w:r w:rsidRPr="00ED2953">
        <w:rPr>
          <w:rStyle w:val="normaltextrun"/>
        </w:rPr>
        <w:t>The Victorian Government proudly acknowledges Victorian Aboriginal people as the First Peoples and Traditional Owners and custodians of the land and water on which we rely. We acknowledge and respect that Aboriginal communities are steeped in traditions and customs built on an incredibly disciplined social and cultural order. This social and cultural order has sustained up to 50,000 years of existence. We acknowledge the ongoing leadership role of the Aboriginal community.</w:t>
      </w:r>
    </w:p>
    <w:p w14:paraId="66BC6973" w14:textId="234392A8" w:rsidR="00ED7762" w:rsidRPr="00B57329" w:rsidRDefault="00780820" w:rsidP="00B94C5E">
      <w:pPr>
        <w:pStyle w:val="Heading1"/>
      </w:pPr>
      <w:bookmarkStart w:id="2" w:name="_Toc93905379"/>
      <w:r>
        <w:t>Purpose</w:t>
      </w:r>
      <w:bookmarkEnd w:id="2"/>
      <w:r w:rsidR="00ED7762">
        <w:t xml:space="preserve"> </w:t>
      </w:r>
      <w:bookmarkStart w:id="3" w:name="_Hlk63948051"/>
    </w:p>
    <w:bookmarkEnd w:id="3"/>
    <w:p w14:paraId="19F97B3D" w14:textId="77777777" w:rsidR="00780820" w:rsidRPr="00D62F54" w:rsidRDefault="00780820" w:rsidP="00ED2953">
      <w:pPr>
        <w:pStyle w:val="DHHSbody"/>
      </w:pPr>
      <w:r w:rsidRPr="00D62F54">
        <w:t xml:space="preserve">This document provides updated service specifications and operational guidance for a further extended version of the High-risk Accommodation Response (HRAR Extension) program. The Victorian Department of Families, Fairness and Housing (the department) provides a range of service offerings to prevent, prepare for, and rapidly respond to the heightened risk of COVID-19 infection and outbreaks in priority communities involved with (or who may benefit from) human services supports. The HRAR program is one of these services, operating through a settings-based, catchment level approach. </w:t>
      </w:r>
    </w:p>
    <w:p w14:paraId="12F9989F" w14:textId="77777777" w:rsidR="00780820" w:rsidRPr="00D62F54" w:rsidRDefault="00780820" w:rsidP="00ED2953">
      <w:pPr>
        <w:pStyle w:val="DHHSbody"/>
      </w:pPr>
      <w:r w:rsidRPr="00D62F54">
        <w:rPr>
          <w:rStyle w:val="normaltextrun"/>
        </w:rPr>
        <w:t xml:space="preserve">The document provides updated </w:t>
      </w:r>
      <w:r w:rsidRPr="00D62F54">
        <w:t>detailed HRAR Extension program information to enable Lead Providers to continue delivering the model. Specifications provide updated guiding detail but retain the flexibility to reflect differences across metropolitan and regional areas, geographic clustering of facility types and the need to allow for local innovation and adaptation based on risk. It is expected that Lead Providers will inform planning and delivery via liaison with program stakeholders and catchment partnerships.</w:t>
      </w:r>
    </w:p>
    <w:p w14:paraId="39341CC7" w14:textId="0B2619ED" w:rsidR="00780820" w:rsidRPr="00D62F54" w:rsidRDefault="00780820" w:rsidP="00ED2953">
      <w:pPr>
        <w:pStyle w:val="DHHSbody"/>
      </w:pPr>
      <w:r w:rsidRPr="00D62F54">
        <w:rPr>
          <w:highlight w:val="yellow"/>
        </w:rPr>
        <w:t>The updates made throughout this document reflect the changing nature of the HRAR program and associated shift in HRAR service supports to commence in 2022 (all additions have been highlighted in yellow). The additions describe the change in service provision to be provided by Lead Providers.</w:t>
      </w:r>
    </w:p>
    <w:p w14:paraId="15F27F0D" w14:textId="19C4EDF3" w:rsidR="00780820" w:rsidRPr="00D62F54" w:rsidRDefault="00780820" w:rsidP="00D62F54">
      <w:pPr>
        <w:pStyle w:val="Heading1"/>
      </w:pPr>
      <w:bookmarkStart w:id="4" w:name="_Toc93905380"/>
      <w:r w:rsidRPr="00D62F54">
        <w:t>Introduction</w:t>
      </w:r>
      <w:bookmarkEnd w:id="4"/>
    </w:p>
    <w:p w14:paraId="5839694D" w14:textId="6FD7DC07" w:rsidR="00ED7762" w:rsidRPr="00D62F54" w:rsidRDefault="00780820" w:rsidP="00D62F54">
      <w:pPr>
        <w:pStyle w:val="Heading2"/>
      </w:pPr>
      <w:bookmarkStart w:id="5" w:name="_Toc93905381"/>
      <w:r w:rsidRPr="00D62F54">
        <w:t>Background</w:t>
      </w:r>
      <w:bookmarkEnd w:id="5"/>
    </w:p>
    <w:p w14:paraId="6BC308FE" w14:textId="77777777" w:rsidR="00780820" w:rsidRPr="0041007D" w:rsidRDefault="00780820" w:rsidP="00ED2953">
      <w:pPr>
        <w:pStyle w:val="DHHSbody"/>
      </w:pPr>
      <w:bookmarkStart w:id="6" w:name="_Toc256778633"/>
      <w:r w:rsidRPr="0041007D">
        <w:t xml:space="preserve">During the coronavirus (COVID-19) pandemic in Victoria, a significant number of cases and outbreaks occurred in high-risk accommodation settings. In general, each high-risk setting is characterised by shared common spaces and high-density living. In response, dedicated emergency management operations (Operation Benessere and the Victorian Disability Response Centre (VDRC)) were established to support risk mitigation and outbreak response. </w:t>
      </w:r>
    </w:p>
    <w:p w14:paraId="343CE273" w14:textId="77777777" w:rsidR="00780820" w:rsidRPr="0041007D" w:rsidRDefault="00780820" w:rsidP="00ED2953">
      <w:pPr>
        <w:pStyle w:val="DHHSbody"/>
      </w:pPr>
      <w:r w:rsidRPr="0041007D">
        <w:t xml:space="preserve">For residential disability settings, the infection prevention and outbreak preparedness (IPOP) program were established. The IPOP approach was delivered through a series of work packages that sought to collect information, apply a risk framework to identify different settings and cohorts of risk and deliver targeted interventions according to the level of risk. This program was delivered through in-kind support from Health Clusters in collaboration with the Department of Health’s Infection Prevention and Control (IPCON) team. </w:t>
      </w:r>
    </w:p>
    <w:p w14:paraId="1EC81817" w14:textId="77777777" w:rsidR="00780820" w:rsidRPr="0041007D" w:rsidRDefault="00780820" w:rsidP="00ED2953">
      <w:pPr>
        <w:pStyle w:val="DHHSbody"/>
      </w:pPr>
      <w:r w:rsidRPr="0041007D">
        <w:t xml:space="preserve">For high-risk accommodation settings, including public housing, community housing, rooming houses, supported residential services (SRS) and other sensitive settings, the high-risk accommodation response (HRAR) program was established. The core functions were broadly aligned with the IPOP program and included catchment planning, community engagement, prevention and preparedness activities and support for outbreak response. This program was delivered through commissioned health services. </w:t>
      </w:r>
    </w:p>
    <w:p w14:paraId="7D50FAAD" w14:textId="77777777" w:rsidR="00780820" w:rsidRPr="0041007D" w:rsidRDefault="00780820" w:rsidP="00ED2953">
      <w:pPr>
        <w:pStyle w:val="DHHSbody"/>
      </w:pPr>
      <w:r w:rsidRPr="0041007D">
        <w:t xml:space="preserve">These programs have now been integrated into the Readiness, Response and Emergency Management Division (RREM), within the department. </w:t>
      </w:r>
    </w:p>
    <w:p w14:paraId="70E93A17" w14:textId="4FBD5856" w:rsidR="00780820" w:rsidRDefault="00780820" w:rsidP="00ED2953">
      <w:pPr>
        <w:pStyle w:val="DHHSbody"/>
        <w:rPr>
          <w:rStyle w:val="normaltextrun"/>
        </w:rPr>
      </w:pPr>
      <w:r w:rsidRPr="00AB0705">
        <w:rPr>
          <w:rStyle w:val="normaltextrun"/>
        </w:rPr>
        <w:lastRenderedPageBreak/>
        <w:t xml:space="preserve">The HRAR Extension </w:t>
      </w:r>
      <w:r>
        <w:rPr>
          <w:rStyle w:val="normaltextrun"/>
        </w:rPr>
        <w:t xml:space="preserve">has been </w:t>
      </w:r>
      <w:r w:rsidRPr="00AB0705">
        <w:rPr>
          <w:rStyle w:val="normaltextrun"/>
        </w:rPr>
        <w:t>established to create a sustainable operating model for proactively reducing the risk of COVID-19 transmission and preparing for and responding early to infection or outbreaks in high-risk accommodation settings</w:t>
      </w:r>
      <w:r>
        <w:rPr>
          <w:rStyle w:val="normaltextrun"/>
        </w:rPr>
        <w:t>.</w:t>
      </w:r>
    </w:p>
    <w:p w14:paraId="3E6676B2" w14:textId="77777777" w:rsidR="00780820" w:rsidRPr="00156216" w:rsidRDefault="00780820" w:rsidP="00ED2953">
      <w:pPr>
        <w:pStyle w:val="DHHSbody"/>
        <w:rPr>
          <w:rStyle w:val="normaltextrun"/>
          <w:highlight w:val="yellow"/>
        </w:rPr>
      </w:pPr>
      <w:r w:rsidRPr="00156216">
        <w:rPr>
          <w:rStyle w:val="normaltextrun"/>
          <w:highlight w:val="yellow"/>
        </w:rPr>
        <w:t>HRAR has had three separate and distinct iterations:</w:t>
      </w:r>
    </w:p>
    <w:p w14:paraId="7BE46BB1" w14:textId="09AB6C1F" w:rsidR="00780820" w:rsidRPr="005325AE" w:rsidRDefault="00780820" w:rsidP="005325AE">
      <w:pPr>
        <w:pStyle w:val="Bullet1"/>
        <w:tabs>
          <w:tab w:val="bar" w:pos="1560"/>
        </w:tabs>
        <w:rPr>
          <w:rStyle w:val="normaltextrun"/>
          <w:highlight w:val="yellow"/>
        </w:rPr>
      </w:pPr>
      <w:r w:rsidRPr="005325AE">
        <w:rPr>
          <w:rStyle w:val="normaltextrun"/>
          <w:highlight w:val="yellow"/>
        </w:rPr>
        <w:t>Stage One:</w:t>
      </w:r>
      <w:r w:rsidR="005325AE" w:rsidRPr="005325AE">
        <w:rPr>
          <w:rStyle w:val="normaltextrun"/>
          <w:highlight w:val="yellow"/>
        </w:rPr>
        <w:t xml:space="preserve"> </w:t>
      </w:r>
      <w:r w:rsidRPr="005325AE">
        <w:rPr>
          <w:rStyle w:val="normaltextrun"/>
          <w:highlight w:val="yellow"/>
        </w:rPr>
        <w:t>September 2020 to February 2021</w:t>
      </w:r>
    </w:p>
    <w:p w14:paraId="05046E20" w14:textId="3E7AEC97" w:rsidR="00780820" w:rsidRPr="005325AE" w:rsidRDefault="00780820" w:rsidP="005325AE">
      <w:pPr>
        <w:pStyle w:val="Bullet1"/>
        <w:tabs>
          <w:tab w:val="bar" w:pos="1560"/>
        </w:tabs>
        <w:rPr>
          <w:rStyle w:val="normaltextrun"/>
          <w:highlight w:val="yellow"/>
        </w:rPr>
      </w:pPr>
      <w:r w:rsidRPr="005325AE">
        <w:rPr>
          <w:rStyle w:val="normaltextrun"/>
          <w:highlight w:val="yellow"/>
        </w:rPr>
        <w:t>Stage Two:</w:t>
      </w:r>
      <w:r w:rsidR="005325AE" w:rsidRPr="005325AE">
        <w:rPr>
          <w:rStyle w:val="normaltextrun"/>
          <w:highlight w:val="yellow"/>
        </w:rPr>
        <w:t xml:space="preserve"> </w:t>
      </w:r>
      <w:r w:rsidRPr="005325AE">
        <w:rPr>
          <w:rStyle w:val="normaltextrun"/>
          <w:highlight w:val="yellow"/>
        </w:rPr>
        <w:t>March 2021 to June 2021</w:t>
      </w:r>
    </w:p>
    <w:p w14:paraId="160168D1" w14:textId="1FEFD4E7" w:rsidR="00780820" w:rsidRPr="005325AE" w:rsidRDefault="00780820" w:rsidP="005325AE">
      <w:pPr>
        <w:pStyle w:val="Bullet1"/>
        <w:tabs>
          <w:tab w:val="bar" w:pos="1560"/>
        </w:tabs>
        <w:rPr>
          <w:rStyle w:val="normaltextrun"/>
          <w:highlight w:val="yellow"/>
        </w:rPr>
      </w:pPr>
      <w:r w:rsidRPr="005325AE">
        <w:rPr>
          <w:rStyle w:val="normaltextrun"/>
          <w:highlight w:val="yellow"/>
        </w:rPr>
        <w:t>Stage Three:</w:t>
      </w:r>
      <w:r w:rsidR="005325AE" w:rsidRPr="005325AE">
        <w:rPr>
          <w:rStyle w:val="normaltextrun"/>
          <w:highlight w:val="yellow"/>
        </w:rPr>
        <w:t xml:space="preserve"> </w:t>
      </w:r>
      <w:r w:rsidRPr="005325AE">
        <w:rPr>
          <w:rStyle w:val="normaltextrun"/>
          <w:highlight w:val="yellow"/>
        </w:rPr>
        <w:t>July 2021 to December 2021</w:t>
      </w:r>
    </w:p>
    <w:p w14:paraId="4F1ECD53" w14:textId="77777777" w:rsidR="00780820" w:rsidRDefault="00780820" w:rsidP="00ED2953">
      <w:pPr>
        <w:pStyle w:val="DHHSbodyafterbullets"/>
        <w:rPr>
          <w:rStyle w:val="normaltextrun"/>
          <w:highlight w:val="yellow"/>
        </w:rPr>
      </w:pPr>
      <w:r w:rsidRPr="73FB2660">
        <w:rPr>
          <w:rStyle w:val="normaltextrun"/>
          <w:highlight w:val="yellow"/>
        </w:rPr>
        <w:t>Service Specifications for HRAR Stage One were substantially reviewed for HRAR Stage Two. During May 2021, a period of low COVID-19 risk in Victoria, the HRAR Extension Services Specifications (April 2021) were finalised to cover ongoing HRAR operations until the end of 2021.</w:t>
      </w:r>
      <w:r w:rsidRPr="73FB2660">
        <w:rPr>
          <w:rStyle w:val="normaltextrun"/>
        </w:rPr>
        <w:t xml:space="preserve"> </w:t>
      </w:r>
    </w:p>
    <w:p w14:paraId="6BB7DA37" w14:textId="77777777" w:rsidR="00780820" w:rsidRDefault="00780820" w:rsidP="00ED2953">
      <w:pPr>
        <w:pStyle w:val="DHHSbody"/>
        <w:rPr>
          <w:rStyle w:val="normaltextrun"/>
        </w:rPr>
      </w:pPr>
      <w:r w:rsidRPr="00800A19">
        <w:rPr>
          <w:rStyle w:val="normaltextrun"/>
          <w:highlight w:val="yellow"/>
        </w:rPr>
        <w:t xml:space="preserve">In June 2021, the COVID risk in Victoria heightened considerably and positive COVID-19 case numbers increased. It is expected that high positive COVID-19 cases will continue into </w:t>
      </w:r>
      <w:r>
        <w:rPr>
          <w:rStyle w:val="normaltextrun"/>
          <w:highlight w:val="yellow"/>
        </w:rPr>
        <w:t>the first half of</w:t>
      </w:r>
      <w:r w:rsidRPr="00800A19">
        <w:rPr>
          <w:rStyle w:val="normaltextrun"/>
          <w:highlight w:val="yellow"/>
        </w:rPr>
        <w:t xml:space="preserve"> 2022.</w:t>
      </w:r>
    </w:p>
    <w:p w14:paraId="073B73DC" w14:textId="77777777" w:rsidR="00780820" w:rsidRPr="00800A19" w:rsidRDefault="00780820" w:rsidP="00ED2953">
      <w:pPr>
        <w:pStyle w:val="DHHSbody"/>
        <w:rPr>
          <w:rStyle w:val="normaltextrun"/>
          <w:highlight w:val="yellow"/>
        </w:rPr>
      </w:pPr>
      <w:r w:rsidRPr="00800A19">
        <w:rPr>
          <w:rStyle w:val="normaltextrun"/>
          <w:highlight w:val="yellow"/>
        </w:rPr>
        <w:t xml:space="preserve">Vaccination is recognised as a critical COVID-19 mitigation, alongside continued COVID-19 safety precautions. With increasing level of vaccinations, maintaining strong community connection to ensure hard to reach cohorts remain engaged with public health messages and initiatives that will become part of living safely with COVID, such as boosters, flu vaccinations and rapid antigen testing will become increasingly important. Supporting people who continue to be negatively affected, both by risk of illness, and the compounding impacts of the pandemic on their health, social supports and economic stability will also be an important part of enabling social recovery.  </w:t>
      </w:r>
    </w:p>
    <w:p w14:paraId="0ED8666A" w14:textId="2DF2C0C5" w:rsidR="00780820" w:rsidRDefault="00780820" w:rsidP="00ED2953">
      <w:pPr>
        <w:pStyle w:val="DHHSbody"/>
        <w:rPr>
          <w:rStyle w:val="normaltextrun"/>
        </w:rPr>
      </w:pPr>
      <w:r w:rsidRPr="00800A19">
        <w:rPr>
          <w:rStyle w:val="normaltextrun"/>
          <w:highlight w:val="yellow"/>
        </w:rPr>
        <w:t xml:space="preserve">Acknowledging </w:t>
      </w:r>
      <w:r>
        <w:rPr>
          <w:rStyle w:val="normaltextrun"/>
          <w:highlight w:val="yellow"/>
        </w:rPr>
        <w:t>the increasing number of positive cases into 2022</w:t>
      </w:r>
      <w:r w:rsidRPr="00800A19">
        <w:rPr>
          <w:rStyle w:val="normaltextrun"/>
          <w:highlight w:val="yellow"/>
        </w:rPr>
        <w:t>, as we move into</w:t>
      </w:r>
      <w:r>
        <w:rPr>
          <w:rStyle w:val="normaltextrun"/>
          <w:highlight w:val="yellow"/>
        </w:rPr>
        <w:t xml:space="preserve"> a further</w:t>
      </w:r>
      <w:r w:rsidRPr="00800A19">
        <w:rPr>
          <w:rStyle w:val="normaltextrun"/>
          <w:highlight w:val="yellow"/>
        </w:rPr>
        <w:t xml:space="preserve"> HRAR Extension post December 2021, there will be an associated shift in HRAR service supports</w:t>
      </w:r>
      <w:r>
        <w:rPr>
          <w:rStyle w:val="normaltextrun"/>
          <w:highlight w:val="yellow"/>
        </w:rPr>
        <w:t xml:space="preserve"> to outbreak management in high risk and priority cohorts </w:t>
      </w:r>
      <w:r>
        <w:rPr>
          <w:highlight w:val="yellow"/>
        </w:rPr>
        <w:t>and supporting</w:t>
      </w:r>
      <w:r w:rsidRPr="007C783D">
        <w:rPr>
          <w:highlight w:val="yellow"/>
        </w:rPr>
        <w:t> those at the highest risk of adverse health outcomes and compounding social </w:t>
      </w:r>
      <w:r w:rsidRPr="003A06C2">
        <w:rPr>
          <w:highlight w:val="yellow"/>
        </w:rPr>
        <w:t>disadvantage. </w:t>
      </w:r>
      <w:r>
        <w:rPr>
          <w:rStyle w:val="normaltextrun"/>
          <w:highlight w:val="yellow"/>
        </w:rPr>
        <w:t>For catchment areas where outbreaks are not a predominant focus, transition to</w:t>
      </w:r>
      <w:r w:rsidRPr="00800A19">
        <w:rPr>
          <w:rStyle w:val="normaltextrun"/>
          <w:highlight w:val="yellow"/>
        </w:rPr>
        <w:t xml:space="preserve"> activities which support recovery and growth</w:t>
      </w:r>
      <w:r>
        <w:rPr>
          <w:rStyle w:val="normaltextrun"/>
          <w:highlight w:val="yellow"/>
        </w:rPr>
        <w:t xml:space="preserve"> will be the focus</w:t>
      </w:r>
      <w:r w:rsidRPr="00800A19">
        <w:rPr>
          <w:rStyle w:val="normaltextrun"/>
          <w:highlight w:val="yellow"/>
        </w:rPr>
        <w:t>.</w:t>
      </w:r>
      <w:r w:rsidRPr="07AF9DE1">
        <w:rPr>
          <w:rStyle w:val="normaltextrun"/>
        </w:rPr>
        <w:t xml:space="preserve"> </w:t>
      </w:r>
    </w:p>
    <w:p w14:paraId="48676A94" w14:textId="77777777" w:rsidR="00780820" w:rsidRPr="00BE6B75" w:rsidRDefault="00780820" w:rsidP="00BE6B75">
      <w:pPr>
        <w:pStyle w:val="Heading2"/>
        <w:rPr>
          <w:rStyle w:val="eop"/>
          <w:rFonts w:eastAsia="Times"/>
        </w:rPr>
      </w:pPr>
      <w:bookmarkStart w:id="7" w:name="_Toc93219770"/>
      <w:bookmarkStart w:id="8" w:name="_Toc93905382"/>
      <w:r w:rsidRPr="00BE6B75">
        <w:t>Overview of the HRAR Extension</w:t>
      </w:r>
      <w:bookmarkEnd w:id="7"/>
      <w:bookmarkEnd w:id="8"/>
    </w:p>
    <w:p w14:paraId="427078D2" w14:textId="77777777" w:rsidR="00780820" w:rsidRPr="00ED2953" w:rsidRDefault="00780820" w:rsidP="00ED2953">
      <w:pPr>
        <w:pStyle w:val="DHHSbody"/>
        <w:rPr>
          <w:rStyle w:val="normaltextrun"/>
        </w:rPr>
      </w:pPr>
      <w:r w:rsidRPr="00ED2953">
        <w:rPr>
          <w:rStyle w:val="normaltextrun"/>
        </w:rPr>
        <w:t>The HRAR and HRAR Extensions adopt a service model that enables the rapid delivery of prevention, preparedness and outbreak response activities by appropriately skilled professionals within a robust governance framework. It works to ensure appropriate public health measures are in place to protect the health and wellbeing of residents living in high-risk accommodation settings. The program continues to promote creativity in responses in order to provide adequate, culturally appropriate and accessible services and supports (including health and social services, food and essential supplies). It also prioritises the development and delivery of tailored community engagement strategies suitable for the diverse range of residents, workers/volunteers and landlords/proprietors and service providers covered by the extended program.</w:t>
      </w:r>
    </w:p>
    <w:p w14:paraId="2F2BE328" w14:textId="4D81CC2A" w:rsidR="00F821F8" w:rsidRPr="00ED2953" w:rsidRDefault="00780820" w:rsidP="00ED2953">
      <w:pPr>
        <w:pStyle w:val="DHHSbody"/>
        <w:rPr>
          <w:rStyle w:val="normaltextrun"/>
        </w:rPr>
      </w:pPr>
      <w:r w:rsidRPr="00ED2953">
        <w:rPr>
          <w:rStyle w:val="normaltextrun"/>
        </w:rPr>
        <w:t>The HRAR Extension (January 2022) will continue to build on and consolidate the functions that are already in place and designed to respond to transmission risk in high-risk accommodation settings, such as the prevention and control processes established for SRS’ and in high-rise public housing estates. It also complements broader health responses in local areas, including COVID-19 testing, COVID positive care pathway responses and vaccination programs.</w:t>
      </w:r>
    </w:p>
    <w:p w14:paraId="078258DA" w14:textId="77777777" w:rsidR="00F821F8" w:rsidRDefault="00F821F8">
      <w:pPr>
        <w:spacing w:after="0" w:line="240" w:lineRule="auto"/>
        <w:rPr>
          <w:rStyle w:val="normaltextrun"/>
          <w:rFonts w:eastAsia="Times"/>
          <w:szCs w:val="21"/>
        </w:rPr>
      </w:pPr>
      <w:r>
        <w:rPr>
          <w:rStyle w:val="normaltextrun"/>
          <w:szCs w:val="21"/>
        </w:rPr>
        <w:br w:type="page"/>
      </w:r>
    </w:p>
    <w:p w14:paraId="57705C5F" w14:textId="77777777" w:rsidR="005D790A" w:rsidRPr="00D27959" w:rsidRDefault="005D790A" w:rsidP="00D27959">
      <w:pPr>
        <w:pStyle w:val="Heading2"/>
      </w:pPr>
      <w:bookmarkStart w:id="9" w:name="_Toc93219771"/>
      <w:bookmarkStart w:id="10" w:name="_Toc93905383"/>
      <w:r w:rsidRPr="00D27959">
        <w:lastRenderedPageBreak/>
        <w:t>Governance</w:t>
      </w:r>
      <w:bookmarkEnd w:id="9"/>
      <w:bookmarkEnd w:id="10"/>
    </w:p>
    <w:p w14:paraId="0C949696" w14:textId="77777777" w:rsidR="005D790A" w:rsidRPr="002C0D1E" w:rsidRDefault="005D790A" w:rsidP="00ED2953">
      <w:pPr>
        <w:pStyle w:val="DHHSbody"/>
      </w:pPr>
      <w:r w:rsidRPr="002C0D1E">
        <w:t xml:space="preserve">RREM central team is accountable for the objectives and goals of the HRAR Extension program. </w:t>
      </w:r>
    </w:p>
    <w:p w14:paraId="3B61A573" w14:textId="77777777" w:rsidR="005D790A" w:rsidRPr="002C0D1E" w:rsidRDefault="005D790A" w:rsidP="00ED2953">
      <w:pPr>
        <w:pStyle w:val="DHHSbody"/>
      </w:pPr>
      <w:r w:rsidRPr="002C0D1E">
        <w:t xml:space="preserve">Lead Providers have established and regularly convene with catchment leadership groups. Lead Providers should continue to consider membership of key stakeholders including local government and local public health units (LPHU). These groups will not have formal decision-making capacity but will act as a mechanism for collaboration, strategic direction and relationship building. This is one way for Lead Providers to include key stakeholders in catchment partnerships, however, Lead Providers may choose alternate engagement methods or strategies. </w:t>
      </w:r>
    </w:p>
    <w:p w14:paraId="4EFE1EA5" w14:textId="77777777" w:rsidR="00A60200" w:rsidRDefault="005D790A" w:rsidP="002946FD">
      <w:pPr>
        <w:pStyle w:val="DHHSfigurecaption"/>
      </w:pPr>
      <w:r>
        <w:rPr>
          <w:noProof/>
        </w:rPr>
        <w:drawing>
          <wp:inline distT="0" distB="0" distL="0" distR="0" wp14:anchorId="61994B10" wp14:editId="22C1855D">
            <wp:extent cx="4537075" cy="3205480"/>
            <wp:effectExtent l="0" t="0" r="0" b="0"/>
            <wp:docPr id="3" name="Picture 3" descr="A range of other stakeholders, including identified community leaders, local government, local health services, disability providers and non-government community services, will be part of the program delivery. This may be through formal inclusion in geographic catchment leadership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ange of other stakeholders, including identified community leaders, local government, local health services, disability providers and non-government community services, will be part of the program delivery. This may be through formal inclusion in geographic catchment leadership groups."/>
                    <pic:cNvPicPr/>
                  </pic:nvPicPr>
                  <pic:blipFill rotWithShape="1">
                    <a:blip r:embed="rId17"/>
                    <a:srcRect l="43399" t="38030" r="28184" b="26249"/>
                    <a:stretch/>
                  </pic:blipFill>
                  <pic:spPr bwMode="auto">
                    <a:xfrm>
                      <a:off x="0" y="0"/>
                      <a:ext cx="4556539" cy="3219312"/>
                    </a:xfrm>
                    <a:prstGeom prst="rect">
                      <a:avLst/>
                    </a:prstGeom>
                    <a:ln>
                      <a:noFill/>
                    </a:ln>
                    <a:extLst>
                      <a:ext uri="{53640926-AAD7-44D8-BBD7-CCE9431645EC}">
                        <a14:shadowObscured xmlns:a14="http://schemas.microsoft.com/office/drawing/2010/main"/>
                      </a:ext>
                    </a:extLst>
                  </pic:spPr>
                </pic:pic>
              </a:graphicData>
            </a:graphic>
          </wp:inline>
        </w:drawing>
      </w:r>
    </w:p>
    <w:p w14:paraId="3D94AE1B" w14:textId="75260797" w:rsidR="005D790A" w:rsidRPr="005D790A" w:rsidRDefault="005D790A" w:rsidP="002946FD">
      <w:pPr>
        <w:pStyle w:val="DHHSfigurecaption"/>
      </w:pPr>
      <w:r w:rsidRPr="005D790A">
        <w:t>Diagram One: HRAR Governance Structure</w:t>
      </w:r>
    </w:p>
    <w:p w14:paraId="3957F546" w14:textId="77777777" w:rsidR="005D790A" w:rsidRPr="002946FD" w:rsidRDefault="005D790A" w:rsidP="00ED2953">
      <w:pPr>
        <w:pStyle w:val="DHHSbody"/>
      </w:pPr>
      <w:r w:rsidRPr="002946FD">
        <w:t xml:space="preserve">A range of other stakeholders, including identified community leaders, local government, local health services, disability providers and non-government community services, will be part of the program delivery. This may be through formal inclusion in geographic catchment leadership groups. </w:t>
      </w:r>
    </w:p>
    <w:p w14:paraId="3835AA3A" w14:textId="77777777" w:rsidR="002C0D1E" w:rsidRDefault="002C0D1E">
      <w:pPr>
        <w:spacing w:after="0" w:line="240" w:lineRule="auto"/>
        <w:rPr>
          <w:rFonts w:eastAsia="Times"/>
          <w:sz w:val="20"/>
        </w:rPr>
      </w:pPr>
      <w:r>
        <w:br w:type="page"/>
      </w:r>
    </w:p>
    <w:p w14:paraId="5E8A0990" w14:textId="77777777" w:rsidR="002C0D1E" w:rsidRPr="00F91AD8" w:rsidRDefault="002C0D1E" w:rsidP="00F91AD8">
      <w:pPr>
        <w:pStyle w:val="Heading1"/>
      </w:pPr>
      <w:bookmarkStart w:id="11" w:name="_Toc93219772"/>
      <w:bookmarkStart w:id="12" w:name="_Toc93905384"/>
      <w:r w:rsidRPr="00F91AD8">
        <w:lastRenderedPageBreak/>
        <w:t>Objectives and Goals</w:t>
      </w:r>
      <w:bookmarkEnd w:id="11"/>
      <w:bookmarkEnd w:id="12"/>
    </w:p>
    <w:p w14:paraId="709DAF1A" w14:textId="77777777" w:rsidR="002C0D1E" w:rsidRPr="002C0D1E" w:rsidRDefault="002C0D1E" w:rsidP="00ED2953">
      <w:pPr>
        <w:pStyle w:val="DHHSbody"/>
        <w:rPr>
          <w:rStyle w:val="normaltextrun"/>
          <w:sz w:val="21"/>
          <w:szCs w:val="21"/>
        </w:rPr>
      </w:pPr>
      <w:r w:rsidRPr="002C0D1E">
        <w:t xml:space="preserve">The HRAR Extension (January 2022) </w:t>
      </w:r>
      <w:r w:rsidRPr="002C0D1E">
        <w:rPr>
          <w:rStyle w:val="normaltextrun"/>
          <w:sz w:val="21"/>
          <w:szCs w:val="21"/>
        </w:rPr>
        <w:t>continues to act to prevent, prepare for and respond early to coronavirus (COVID-19) infection</w:t>
      </w:r>
      <w:r w:rsidRPr="002C0D1E">
        <w:t xml:space="preserve"> within public housing and other high-risk accommodation settings with shared facilities.</w:t>
      </w:r>
      <w:r w:rsidRPr="002C0D1E">
        <w:rPr>
          <w:rStyle w:val="normaltextrun"/>
          <w:sz w:val="21"/>
          <w:szCs w:val="21"/>
        </w:rPr>
        <w:t xml:space="preserve"> </w:t>
      </w:r>
    </w:p>
    <w:p w14:paraId="6C5377D2" w14:textId="77777777" w:rsidR="002C0D1E" w:rsidRPr="002C0D1E" w:rsidRDefault="002C0D1E" w:rsidP="00ED2953">
      <w:pPr>
        <w:pStyle w:val="DHHSbody"/>
      </w:pPr>
      <w:r w:rsidRPr="002C0D1E">
        <w:rPr>
          <w:highlight w:val="yellow"/>
        </w:rPr>
        <w:t xml:space="preserve">The changing nature of the HRAR program has resulted in alterations to the overarching objectives as described in the </w:t>
      </w:r>
      <w:r w:rsidRPr="002C0D1E">
        <w:rPr>
          <w:rStyle w:val="normaltextrun"/>
          <w:szCs w:val="21"/>
          <w:highlight w:val="yellow"/>
        </w:rPr>
        <w:t xml:space="preserve">HRAR Extension Services Specifications (April 2021). </w:t>
      </w:r>
      <w:r w:rsidRPr="002C0D1E">
        <w:rPr>
          <w:highlight w:val="yellow"/>
        </w:rPr>
        <w:t>The operation will now be in accordance with the following mission and objectives (principles remain the same).</w:t>
      </w:r>
      <w:r w:rsidRPr="002C0D1E">
        <w:t xml:space="preserve"> </w:t>
      </w:r>
    </w:p>
    <w:p w14:paraId="5928AB66" w14:textId="77777777" w:rsidR="002C0D1E" w:rsidRPr="00FA3435" w:rsidRDefault="002C0D1E" w:rsidP="00FA3435">
      <w:pPr>
        <w:pStyle w:val="Heading2"/>
      </w:pPr>
      <w:bookmarkStart w:id="13" w:name="_Toc93219773"/>
      <w:bookmarkStart w:id="14" w:name="_Toc93905385"/>
      <w:r w:rsidRPr="00FA3435">
        <w:t>Mission</w:t>
      </w:r>
      <w:bookmarkEnd w:id="13"/>
      <w:bookmarkEnd w:id="14"/>
    </w:p>
    <w:p w14:paraId="0844487E" w14:textId="3B10AE31" w:rsidR="002C0D1E" w:rsidRPr="002C0D1E" w:rsidRDefault="002C0D1E" w:rsidP="00ED2953">
      <w:pPr>
        <w:pStyle w:val="DHHSbody"/>
        <w:rPr>
          <w:sz w:val="21"/>
          <w:szCs w:val="21"/>
        </w:rPr>
      </w:pPr>
      <w:r w:rsidRPr="00ED2953">
        <w:rPr>
          <w:highlight w:val="yellow"/>
        </w:rPr>
        <w:t>The overarching mission of the HRAR extension (January 2022) is to support ongoing outbreaks, emergency COVID-19 variants and vaccine hesitancy as well as those at the highest risk of adverse health outcomes and compounding social disadvantage.</w:t>
      </w:r>
    </w:p>
    <w:p w14:paraId="3E9DB47C" w14:textId="77777777" w:rsidR="002C0D1E" w:rsidRPr="00563DFE" w:rsidRDefault="002C0D1E" w:rsidP="00563DFE">
      <w:pPr>
        <w:pStyle w:val="Heading2"/>
      </w:pPr>
      <w:bookmarkStart w:id="15" w:name="_Toc93219774"/>
      <w:bookmarkStart w:id="16" w:name="_Toc93905386"/>
      <w:r w:rsidRPr="00563DFE">
        <w:t>Objectives</w:t>
      </w:r>
      <w:bookmarkEnd w:id="15"/>
      <w:bookmarkEnd w:id="16"/>
    </w:p>
    <w:p w14:paraId="4321C10E" w14:textId="77777777" w:rsidR="002C0D1E" w:rsidRDefault="002C0D1E" w:rsidP="00ED2953">
      <w:pPr>
        <w:pStyle w:val="DHHSbody"/>
      </w:pPr>
      <w:r w:rsidRPr="00D55ECA">
        <w:t xml:space="preserve">The overarching objectives of the HRAR </w:t>
      </w:r>
      <w:r>
        <w:t>Extension is to provide</w:t>
      </w:r>
      <w:r w:rsidRPr="00D55ECA">
        <w:t xml:space="preserve">: </w:t>
      </w:r>
    </w:p>
    <w:p w14:paraId="339313AF" w14:textId="0C2347CD" w:rsidR="00BF6220" w:rsidRDefault="00BF6220" w:rsidP="00BF6220">
      <w:pPr>
        <w:pStyle w:val="DHHSbody"/>
      </w:pPr>
      <w:r w:rsidRPr="002C0D1E">
        <w:rPr>
          <w:b/>
          <w:bCs/>
          <w:highlight w:val="yellow"/>
        </w:rPr>
        <w:t xml:space="preserve">Catchment </w:t>
      </w:r>
      <w:r w:rsidR="00EC78F8" w:rsidRPr="002C0D1E">
        <w:rPr>
          <w:b/>
          <w:bCs/>
          <w:highlight w:val="yellow"/>
        </w:rPr>
        <w:t>partnerships:</w:t>
      </w:r>
      <w:r w:rsidR="00EC78F8" w:rsidRPr="002C0D1E">
        <w:rPr>
          <w:highlight w:val="yellow"/>
        </w:rPr>
        <w:t xml:space="preserve"> The</w:t>
      </w:r>
      <w:r w:rsidRPr="002C0D1E">
        <w:rPr>
          <w:highlight w:val="yellow"/>
        </w:rPr>
        <w:t xml:space="preserve"> focus in this pillar will shift to maintaining catchment-based governance, the links established with local organisations and the place-based methodology. As the establishment and development phase of catchment planning has already been completed in previous HRAR work, the expectation is that fewer resources are required, and the focus will be on catchment leaderships/meetings and partnerships.</w:t>
      </w:r>
    </w:p>
    <w:p w14:paraId="2C66EA28" w14:textId="77777777" w:rsidR="00BF6220" w:rsidRPr="002C0D1E" w:rsidRDefault="00BF6220" w:rsidP="00ED2953">
      <w:pPr>
        <w:pStyle w:val="DHHSbody"/>
        <w:rPr>
          <w:highlight w:val="yellow"/>
        </w:rPr>
      </w:pPr>
      <w:r w:rsidRPr="00306886">
        <w:rPr>
          <w:rStyle w:val="Strong"/>
        </w:rPr>
        <w:t>Community engagement:</w:t>
      </w:r>
      <w:r w:rsidRPr="002C0D1E">
        <w:t xml:space="preserve"> </w:t>
      </w:r>
      <w:r w:rsidRPr="002C0D1E">
        <w:rPr>
          <w:highlight w:val="yellow"/>
        </w:rPr>
        <w:t>The focus of community engagement will shift to:</w:t>
      </w:r>
    </w:p>
    <w:p w14:paraId="0331C23F" w14:textId="77777777" w:rsidR="00BF6220" w:rsidRPr="002C0D1E" w:rsidRDefault="00BF6220" w:rsidP="004C1E48">
      <w:pPr>
        <w:pStyle w:val="Bullet1"/>
        <w:rPr>
          <w:rFonts w:eastAsia="Arial" w:cs="Arial"/>
          <w:highlight w:val="yellow"/>
        </w:rPr>
      </w:pPr>
      <w:r w:rsidRPr="002C0D1E">
        <w:rPr>
          <w:highlight w:val="yellow"/>
        </w:rPr>
        <w:t xml:space="preserve">unvaccinated, partially vaccinated and newly eligible cohorts </w:t>
      </w:r>
    </w:p>
    <w:p w14:paraId="26F5A9D4" w14:textId="77777777" w:rsidR="00BF6220" w:rsidRPr="002C0D1E" w:rsidRDefault="00BF6220" w:rsidP="004C1E48">
      <w:pPr>
        <w:pStyle w:val="Bullet1"/>
        <w:rPr>
          <w:rFonts w:eastAsia="Arial" w:cs="Arial"/>
          <w:highlight w:val="yellow"/>
        </w:rPr>
      </w:pPr>
      <w:r w:rsidRPr="002C0D1E">
        <w:rPr>
          <w:highlight w:val="yellow"/>
        </w:rPr>
        <w:t>promotion of booster and 3</w:t>
      </w:r>
      <w:r w:rsidRPr="002C0D1E">
        <w:rPr>
          <w:highlight w:val="yellow"/>
          <w:vertAlign w:val="superscript"/>
        </w:rPr>
        <w:t>rd</w:t>
      </w:r>
      <w:r w:rsidRPr="002C0D1E">
        <w:rPr>
          <w:highlight w:val="yellow"/>
        </w:rPr>
        <w:t xml:space="preserve"> dose shots</w:t>
      </w:r>
    </w:p>
    <w:p w14:paraId="3980F3AC" w14:textId="77777777" w:rsidR="00BF6220" w:rsidRPr="002C0D1E" w:rsidRDefault="00BF6220" w:rsidP="004C1E48">
      <w:pPr>
        <w:pStyle w:val="Bullet1"/>
        <w:rPr>
          <w:rFonts w:eastAsia="Arial" w:cs="Arial"/>
          <w:highlight w:val="yellow"/>
        </w:rPr>
      </w:pPr>
      <w:r w:rsidRPr="002C0D1E">
        <w:rPr>
          <w:highlight w:val="yellow"/>
        </w:rPr>
        <w:t xml:space="preserve">education regarding rapid antigen testing </w:t>
      </w:r>
    </w:p>
    <w:p w14:paraId="2310ED2B" w14:textId="77777777" w:rsidR="00BF6220" w:rsidRPr="002C0D1E" w:rsidRDefault="00BF6220" w:rsidP="004C1E48">
      <w:pPr>
        <w:pStyle w:val="Bullet1"/>
        <w:rPr>
          <w:rFonts w:eastAsia="Arial" w:cs="Arial"/>
          <w:highlight w:val="yellow"/>
        </w:rPr>
      </w:pPr>
      <w:r w:rsidRPr="002C0D1E">
        <w:rPr>
          <w:highlight w:val="yellow"/>
        </w:rPr>
        <w:t xml:space="preserve">education regarding flu vaccine </w:t>
      </w:r>
    </w:p>
    <w:p w14:paraId="5B6762BC" w14:textId="77777777" w:rsidR="00BF6220" w:rsidRPr="002C0D1E" w:rsidRDefault="00BF6220" w:rsidP="004C1E48">
      <w:pPr>
        <w:pStyle w:val="Bullet1"/>
        <w:rPr>
          <w:rFonts w:eastAsia="Arial" w:cs="Arial"/>
          <w:highlight w:val="yellow"/>
        </w:rPr>
      </w:pPr>
      <w:r w:rsidRPr="002C0D1E">
        <w:rPr>
          <w:highlight w:val="yellow"/>
        </w:rPr>
        <w:t>how to prepare for becoming a case or a close contact including preparing for isolation at home</w:t>
      </w:r>
    </w:p>
    <w:p w14:paraId="2843B784" w14:textId="77777777" w:rsidR="00BF6220" w:rsidRPr="00306886" w:rsidRDefault="00BF6220" w:rsidP="00BF6220">
      <w:pPr>
        <w:pStyle w:val="DHHSbodyafterbullets"/>
        <w:rPr>
          <w:highlight w:val="yellow"/>
        </w:rPr>
      </w:pPr>
      <w:r w:rsidRPr="002C0D1E">
        <w:rPr>
          <w:highlight w:val="yellow"/>
        </w:rPr>
        <w:t>Lead Providers will build on community engagement through assertive outreach models that are now well developed through previous HRAR work to support social and economic recovery within the community.</w:t>
      </w:r>
    </w:p>
    <w:p w14:paraId="6F152D3D" w14:textId="0918EB3B" w:rsidR="00BF6220" w:rsidRDefault="00BF6220" w:rsidP="00BF6220">
      <w:pPr>
        <w:pStyle w:val="DHHSbody"/>
      </w:pPr>
      <w:r w:rsidRPr="002C0D1E">
        <w:rPr>
          <w:highlight w:val="yellow"/>
        </w:rPr>
        <w:t>Lead Providers working the Public Housing High Rise Towers will continue to maintain and support the health concierge function which will play a key role in community engagement, promotion of vaccination and active linkages in these settings and offer support to tenants of the towers who are close contacts or COVID cases with an emphasis on social and economic recovery.</w:t>
      </w:r>
    </w:p>
    <w:p w14:paraId="26DE9B67" w14:textId="1C04F873" w:rsidR="00BF6220" w:rsidRDefault="00BF6220" w:rsidP="00BF6220">
      <w:pPr>
        <w:pStyle w:val="DHHSbody"/>
      </w:pPr>
      <w:r w:rsidRPr="00306886">
        <w:rPr>
          <w:rStyle w:val="Strong"/>
        </w:rPr>
        <w:t>Prevention and preparedness:</w:t>
      </w:r>
      <w:r w:rsidRPr="002C0D1E">
        <w:t xml:space="preserve"> </w:t>
      </w:r>
      <w:r w:rsidRPr="002C0D1E">
        <w:rPr>
          <w:highlight w:val="yellow"/>
        </w:rPr>
        <w:t>Expectations are that efforts in this pillar will reflect actions and outcomes already achieved in previous versions of HRAR. Work in this pillar will move to maintaining awareness and monitoring ongoing readiness and awareness of COVID risks, including any new COVID-19 variants. It is noted that for some facilities, i.e. SRS’, a more concerted effort will be required but is expected to be the minority.</w:t>
      </w:r>
    </w:p>
    <w:p w14:paraId="44FC7437" w14:textId="77777777" w:rsidR="00BF6220" w:rsidRPr="002C0D1E" w:rsidRDefault="00BF6220" w:rsidP="00ED2953">
      <w:pPr>
        <w:pStyle w:val="DHHSbody"/>
        <w:rPr>
          <w:highlight w:val="yellow"/>
        </w:rPr>
      </w:pPr>
      <w:r w:rsidRPr="008E33C6">
        <w:rPr>
          <w:rStyle w:val="Strong"/>
        </w:rPr>
        <w:t>Active linkage to social supports</w:t>
      </w:r>
      <w:r w:rsidRPr="008E33C6">
        <w:rPr>
          <w:rStyle w:val="Strong"/>
          <w:highlight w:val="yellow"/>
        </w:rPr>
        <w:t>:</w:t>
      </w:r>
      <w:r w:rsidRPr="002C0D1E">
        <w:rPr>
          <w:highlight w:val="yellow"/>
        </w:rPr>
        <w:t xml:space="preserve"> To facilitate access for people in high-risk settings to culturally appropriate support services (including health and social services, food and essential supplies) to meet their needs, particularly at times of heightened risk of COVID-19 infection, transmission or during outbreaks, and to support social recovery efforts at the local level.</w:t>
      </w:r>
    </w:p>
    <w:p w14:paraId="24034BDB" w14:textId="77777777" w:rsidR="00BF6220" w:rsidRPr="002C0D1E" w:rsidRDefault="00BF6220" w:rsidP="00ED2953">
      <w:pPr>
        <w:pStyle w:val="DHHSbody"/>
      </w:pPr>
      <w:r w:rsidRPr="002C0D1E">
        <w:rPr>
          <w:highlight w:val="yellow"/>
        </w:rPr>
        <w:t>As the focus on outbreaks reduces over 2022, active linkages and social supports will grow and become the foundation pillar of the HRAR program. This pillar is expected to leave an indelible legacy - providing a lasting benefit to the vulnerable people receiving HRAR supports and developing community resilience.</w:t>
      </w:r>
    </w:p>
    <w:p w14:paraId="29D5DE0A" w14:textId="77777777" w:rsidR="00E40AC4" w:rsidRDefault="00BF6220" w:rsidP="00ED2953">
      <w:pPr>
        <w:pStyle w:val="DHHSbody"/>
      </w:pPr>
      <w:r w:rsidRPr="008E33C6">
        <w:rPr>
          <w:rStyle w:val="Strong"/>
        </w:rPr>
        <w:t>Outbreak support:</w:t>
      </w:r>
      <w:r w:rsidRPr="002C0D1E">
        <w:t xml:space="preserve"> </w:t>
      </w:r>
      <w:r w:rsidRPr="002C0D1E">
        <w:rPr>
          <w:highlight w:val="yellow"/>
        </w:rPr>
        <w:t xml:space="preserve">Support public health case and outbreak response activities to protect the health and wellbeing of people in high-risk human services settings (residential and non-residential) from COVID-19 infection and its impacts. </w:t>
      </w:r>
    </w:p>
    <w:p w14:paraId="62347A37" w14:textId="4322D1C2" w:rsidR="002C0D1E" w:rsidRPr="0042531E" w:rsidRDefault="002C0D1E" w:rsidP="0042531E">
      <w:pPr>
        <w:pStyle w:val="Heading2"/>
      </w:pPr>
      <w:bookmarkStart w:id="17" w:name="_Toc93219775"/>
      <w:bookmarkStart w:id="18" w:name="_Toc93905387"/>
      <w:r w:rsidRPr="0042531E">
        <w:lastRenderedPageBreak/>
        <w:t>Principles</w:t>
      </w:r>
      <w:bookmarkEnd w:id="17"/>
      <w:bookmarkEnd w:id="18"/>
    </w:p>
    <w:p w14:paraId="40B99B5F" w14:textId="77777777" w:rsidR="00BF6220" w:rsidRPr="000112A3" w:rsidRDefault="00BF6220" w:rsidP="000112A3">
      <w:pPr>
        <w:pStyle w:val="DHHSbody"/>
        <w:rPr>
          <w:rStyle w:val="Strong"/>
        </w:rPr>
      </w:pPr>
      <w:r w:rsidRPr="000112A3">
        <w:rPr>
          <w:rStyle w:val="Strong"/>
        </w:rPr>
        <w:t>Health, safety and wellbeing</w:t>
      </w:r>
    </w:p>
    <w:p w14:paraId="2B8A59E3" w14:textId="77777777" w:rsidR="00BF6220" w:rsidRPr="000112A3" w:rsidRDefault="00BF6220" w:rsidP="000112A3">
      <w:pPr>
        <w:pStyle w:val="DHHSbody"/>
      </w:pPr>
      <w:r w:rsidRPr="000112A3">
        <w:t xml:space="preserve">Health, safety and wellbeing for residents, tenants, workers and volunteers are at the centre of all planning, decision making and action. </w:t>
      </w:r>
    </w:p>
    <w:p w14:paraId="2A624945" w14:textId="37D8DAE2" w:rsidR="00BF6220" w:rsidRPr="000112A3" w:rsidRDefault="00BF6220" w:rsidP="000112A3">
      <w:pPr>
        <w:pStyle w:val="DHHSbody"/>
        <w:rPr>
          <w:rStyle w:val="Strong"/>
        </w:rPr>
      </w:pPr>
      <w:r w:rsidRPr="000112A3">
        <w:rPr>
          <w:rStyle w:val="Strong"/>
        </w:rPr>
        <w:t>Healing and recovery</w:t>
      </w:r>
    </w:p>
    <w:p w14:paraId="17A19756" w14:textId="77777777" w:rsidR="00BF6220" w:rsidRPr="000112A3" w:rsidRDefault="00BF6220" w:rsidP="000112A3">
      <w:pPr>
        <w:pStyle w:val="DHHSbody"/>
      </w:pPr>
      <w:r w:rsidRPr="000112A3">
        <w:t>Communities will be supported to recover, recognising the ongoing impact of the stress and disruption the pandemic has caused.</w:t>
      </w:r>
    </w:p>
    <w:p w14:paraId="3317C785" w14:textId="77777777" w:rsidR="00BF6220" w:rsidRPr="000112A3" w:rsidRDefault="00BF6220" w:rsidP="000112A3">
      <w:pPr>
        <w:pStyle w:val="DHHSbody"/>
        <w:rPr>
          <w:rStyle w:val="Strong"/>
        </w:rPr>
      </w:pPr>
      <w:r w:rsidRPr="000112A3">
        <w:rPr>
          <w:rStyle w:val="Strong"/>
        </w:rPr>
        <w:t>Client voice</w:t>
      </w:r>
    </w:p>
    <w:p w14:paraId="2D378BB8" w14:textId="026335E8" w:rsidR="00BF6220" w:rsidRPr="000112A3" w:rsidRDefault="00BF6220" w:rsidP="000112A3">
      <w:pPr>
        <w:pStyle w:val="DHHSbody"/>
      </w:pPr>
      <w:r w:rsidRPr="000112A3">
        <w:t>The experience of residents and tenants will be heard and acknowledged with a focus on health outcomes with an emphasis on social and economic recovery.</w:t>
      </w:r>
    </w:p>
    <w:p w14:paraId="46F7E4A4" w14:textId="77777777" w:rsidR="00BF6220" w:rsidRPr="000112A3" w:rsidRDefault="00BF6220" w:rsidP="000112A3">
      <w:pPr>
        <w:pStyle w:val="DHHSbody"/>
        <w:rPr>
          <w:rStyle w:val="Strong"/>
        </w:rPr>
      </w:pPr>
      <w:r w:rsidRPr="000112A3">
        <w:rPr>
          <w:rStyle w:val="Strong"/>
        </w:rPr>
        <w:t>Respect and transparency</w:t>
      </w:r>
    </w:p>
    <w:p w14:paraId="2F0B3667" w14:textId="77777777" w:rsidR="00BF6220" w:rsidRPr="000112A3" w:rsidRDefault="00BF6220" w:rsidP="000112A3">
      <w:pPr>
        <w:pStyle w:val="DHHSbody"/>
      </w:pPr>
      <w:r w:rsidRPr="000112A3">
        <w:t xml:space="preserve">The safety, amenity and human rights of residents and tenants, their homes and neighbourhood will be respected. Residents and tenants will know what service response is being proposed, when/how/why this may change and have a chance to input into the ongoing care and support available for their community. </w:t>
      </w:r>
    </w:p>
    <w:p w14:paraId="5C32EA8D" w14:textId="77777777" w:rsidR="00BF6220" w:rsidRPr="000112A3" w:rsidRDefault="00BF6220" w:rsidP="000112A3">
      <w:pPr>
        <w:pStyle w:val="DHHSbody"/>
        <w:rPr>
          <w:rStyle w:val="Strong"/>
        </w:rPr>
      </w:pPr>
      <w:r w:rsidRPr="000112A3">
        <w:rPr>
          <w:rStyle w:val="Strong"/>
        </w:rPr>
        <w:t>Accessibility</w:t>
      </w:r>
    </w:p>
    <w:p w14:paraId="285D1AF6" w14:textId="77777777" w:rsidR="00BF6220" w:rsidRPr="000112A3" w:rsidRDefault="00BF6220" w:rsidP="000112A3">
      <w:pPr>
        <w:pStyle w:val="DHHSbody"/>
      </w:pPr>
      <w:r w:rsidRPr="000112A3">
        <w:t xml:space="preserve">Residents, tenants and staff will be empowered to make informed health-related decisions based on clear, accessible, culturally, linguistically and religiously appropriate and authoritative public health and support service information. They will be supported to access clinical and other service needs for the immediate and long term if needed. </w:t>
      </w:r>
    </w:p>
    <w:p w14:paraId="16E00CE3" w14:textId="77777777" w:rsidR="00BF6220" w:rsidRPr="000112A3" w:rsidRDefault="00BF6220" w:rsidP="000112A3">
      <w:pPr>
        <w:pStyle w:val="DHHSbody"/>
        <w:rPr>
          <w:rStyle w:val="Strong"/>
        </w:rPr>
      </w:pPr>
      <w:r w:rsidRPr="000112A3">
        <w:rPr>
          <w:rStyle w:val="Strong"/>
        </w:rPr>
        <w:t>Resilience </w:t>
      </w:r>
    </w:p>
    <w:p w14:paraId="2C5B18D0" w14:textId="77777777" w:rsidR="00BF6220" w:rsidRPr="000112A3" w:rsidRDefault="00BF6220" w:rsidP="000112A3">
      <w:pPr>
        <w:pStyle w:val="DHHSbody"/>
      </w:pPr>
      <w:r w:rsidRPr="000112A3">
        <w:t xml:space="preserve">The ongoing risk of COVID-19 will be reflected in future planning, with clear communications and engagement with residents on managing this risk and recognising and building on the strengths and resilience of communities. </w:t>
      </w:r>
    </w:p>
    <w:p w14:paraId="3DD3ADD1" w14:textId="77777777" w:rsidR="00BF6220" w:rsidRPr="000112A3" w:rsidRDefault="00BF6220" w:rsidP="000112A3">
      <w:pPr>
        <w:pStyle w:val="DHHSbody"/>
        <w:rPr>
          <w:rStyle w:val="Strong"/>
        </w:rPr>
      </w:pPr>
      <w:r w:rsidRPr="000112A3">
        <w:rPr>
          <w:rStyle w:val="Strong"/>
        </w:rPr>
        <w:t>Leadership and community</w:t>
      </w:r>
    </w:p>
    <w:p w14:paraId="7CC004FC" w14:textId="77777777" w:rsidR="00BF6220" w:rsidRPr="000112A3" w:rsidRDefault="00BF6220" w:rsidP="000112A3">
      <w:pPr>
        <w:pStyle w:val="DHHSbody"/>
      </w:pPr>
      <w:r w:rsidRPr="000112A3">
        <w:t>Community leaders (where possible, local residents) who reflect the gender, age, cultural and other diversity of residents and tenants will be empowered to be critical agents in supporting communities. There will be a focus on building the community to be stronger and more resilient than before the pandemic.</w:t>
      </w:r>
    </w:p>
    <w:p w14:paraId="6D8C447C" w14:textId="77777777" w:rsidR="00BF6220" w:rsidRPr="000112A3" w:rsidRDefault="00BF6220" w:rsidP="000112A3">
      <w:pPr>
        <w:pStyle w:val="DHHSbody"/>
        <w:rPr>
          <w:rStyle w:val="Strong"/>
        </w:rPr>
      </w:pPr>
      <w:r w:rsidRPr="000112A3">
        <w:rPr>
          <w:rStyle w:val="Strong"/>
        </w:rPr>
        <w:t>Learning and improvement</w:t>
      </w:r>
    </w:p>
    <w:p w14:paraId="392C3C83" w14:textId="77777777" w:rsidR="00BF6220" w:rsidRPr="000112A3" w:rsidRDefault="00BF6220" w:rsidP="000112A3">
      <w:pPr>
        <w:pStyle w:val="DHHSbody"/>
      </w:pPr>
      <w:r w:rsidRPr="000112A3">
        <w:t xml:space="preserve">There is a commitment to learning and improvement based on the feedback we receive </w:t>
      </w:r>
    </w:p>
    <w:p w14:paraId="27F11C58" w14:textId="77777777" w:rsidR="00A77B28" w:rsidRDefault="00A77B28">
      <w:pPr>
        <w:spacing w:after="0" w:line="240" w:lineRule="auto"/>
        <w:rPr>
          <w:rFonts w:eastAsia="MS Gothic" w:cs="Arial"/>
          <w:bCs/>
          <w:color w:val="201547"/>
          <w:kern w:val="32"/>
          <w:sz w:val="44"/>
          <w:szCs w:val="44"/>
        </w:rPr>
      </w:pPr>
      <w:bookmarkStart w:id="19" w:name="_Ref47172698"/>
      <w:bookmarkStart w:id="20" w:name="_Toc93219776"/>
      <w:r>
        <w:br w:type="page"/>
      </w:r>
    </w:p>
    <w:p w14:paraId="6C979859" w14:textId="016201F1" w:rsidR="002C0D1E" w:rsidRPr="00ED2953" w:rsidRDefault="002C0D1E" w:rsidP="00ED2953">
      <w:pPr>
        <w:pStyle w:val="Heading1"/>
      </w:pPr>
      <w:bookmarkStart w:id="21" w:name="_Toc93905388"/>
      <w:r w:rsidRPr="00ED2953">
        <w:lastRenderedPageBreak/>
        <w:t>Scope</w:t>
      </w:r>
      <w:bookmarkEnd w:id="19"/>
      <w:bookmarkEnd w:id="20"/>
      <w:bookmarkEnd w:id="21"/>
    </w:p>
    <w:p w14:paraId="0EBC6FBE" w14:textId="77777777" w:rsidR="002C0D1E" w:rsidRPr="00A77B28" w:rsidRDefault="002C0D1E" w:rsidP="00A77B28">
      <w:pPr>
        <w:pStyle w:val="DHHSbody"/>
        <w:spacing w:after="80"/>
      </w:pPr>
      <w:r w:rsidRPr="00A77B28">
        <w:t xml:space="preserve">Accommodation settings within scope for the HRAR Extension January 2022 remain the same and continues to include government and non-government managed sites across the state of Victoria, which have been identified as high-risk accommodation. </w:t>
      </w:r>
    </w:p>
    <w:p w14:paraId="6E178498" w14:textId="77777777" w:rsidR="002C0D1E" w:rsidRPr="00A77B28" w:rsidRDefault="002C0D1E" w:rsidP="00A77B28">
      <w:pPr>
        <w:pStyle w:val="DHHSbody"/>
        <w:spacing w:after="80"/>
      </w:pPr>
      <w:r w:rsidRPr="00A77B28">
        <w:t>The range of populations and accommodation-types within scope include:</w:t>
      </w:r>
    </w:p>
    <w:p w14:paraId="17469A61" w14:textId="77777777" w:rsidR="002C0D1E" w:rsidRPr="00A77B28" w:rsidRDefault="002C0D1E" w:rsidP="004C1E48">
      <w:pPr>
        <w:pStyle w:val="Bullet1"/>
      </w:pPr>
      <w:r w:rsidRPr="00A77B28">
        <w:t>High-rise public housing</w:t>
      </w:r>
    </w:p>
    <w:p w14:paraId="0A9D4918" w14:textId="77777777" w:rsidR="002C0D1E" w:rsidRPr="00A77B28" w:rsidRDefault="002C0D1E" w:rsidP="004C1E48">
      <w:pPr>
        <w:pStyle w:val="Bullet1"/>
      </w:pPr>
      <w:r w:rsidRPr="00A77B28">
        <w:t>Low-and medium-rise public housing – where there are shared facilities (e.g. laundry, kitchen) or access points (e.g. lifts, stairs)</w:t>
      </w:r>
    </w:p>
    <w:p w14:paraId="4F09C6A1" w14:textId="77777777" w:rsidR="002C0D1E" w:rsidRPr="00A77B28" w:rsidRDefault="002C0D1E" w:rsidP="004C1E48">
      <w:pPr>
        <w:pStyle w:val="Bullet1"/>
      </w:pPr>
      <w:r w:rsidRPr="00A77B28">
        <w:t xml:space="preserve">Residential disability settings </w:t>
      </w:r>
    </w:p>
    <w:p w14:paraId="4515EF12" w14:textId="77777777" w:rsidR="002C0D1E" w:rsidRPr="00A77B28" w:rsidRDefault="002C0D1E" w:rsidP="004C1E48">
      <w:pPr>
        <w:pStyle w:val="Bullet1"/>
      </w:pPr>
      <w:r w:rsidRPr="00A77B28">
        <w:t>Supported residential services (SRS)</w:t>
      </w:r>
    </w:p>
    <w:p w14:paraId="7581648C" w14:textId="77777777" w:rsidR="002C0D1E" w:rsidRPr="00A77B28" w:rsidRDefault="002C0D1E" w:rsidP="004C1E48">
      <w:pPr>
        <w:pStyle w:val="Bullet1"/>
      </w:pPr>
      <w:r w:rsidRPr="00A77B28">
        <w:t>Rooming houses (private, community, and unregistered where/as known)</w:t>
      </w:r>
    </w:p>
    <w:p w14:paraId="7FFB34FC" w14:textId="77777777" w:rsidR="002C0D1E" w:rsidRPr="00A77B28" w:rsidRDefault="002C0D1E" w:rsidP="004C1E48">
      <w:pPr>
        <w:pStyle w:val="Bullet1"/>
      </w:pPr>
      <w:r w:rsidRPr="00A77B28">
        <w:t>Community housing</w:t>
      </w:r>
    </w:p>
    <w:p w14:paraId="632C9790" w14:textId="77777777" w:rsidR="002C0D1E" w:rsidRPr="00A77B28" w:rsidRDefault="002C0D1E" w:rsidP="004C1E48">
      <w:pPr>
        <w:pStyle w:val="Bullet1"/>
      </w:pPr>
      <w:r w:rsidRPr="00A77B28">
        <w:t>Caravan Parks with long term residents</w:t>
      </w:r>
    </w:p>
    <w:p w14:paraId="40BF5E6E" w14:textId="77777777" w:rsidR="002C0D1E" w:rsidRPr="002C0D1E" w:rsidRDefault="002C0D1E" w:rsidP="00A77B28">
      <w:pPr>
        <w:pStyle w:val="DHHSbodyafterbullets"/>
        <w:spacing w:after="80"/>
      </w:pPr>
      <w:r w:rsidRPr="002C0D1E">
        <w:rPr>
          <w:highlight w:val="yellow"/>
        </w:rPr>
        <w:t xml:space="preserve">COVID-19 outbreaks over late 2021 have been observed in disadvantaged populations that have not previously been supported through HRAR. As such, there will be </w:t>
      </w:r>
      <w:r w:rsidRPr="00A77B28">
        <w:rPr>
          <w:highlight w:val="yellow"/>
        </w:rPr>
        <w:t>instances</w:t>
      </w:r>
      <w:r w:rsidRPr="002C0D1E">
        <w:rPr>
          <w:highlight w:val="yellow"/>
        </w:rPr>
        <w:t xml:space="preserve"> that DFFH will request that providers provide support in new settings. This may include: family violence refuge; out-of-home care for children and young people; non-residential disability settings; or other priority communities.</w:t>
      </w:r>
      <w:r w:rsidRPr="002C0D1E">
        <w:t xml:space="preserve"> </w:t>
      </w:r>
    </w:p>
    <w:p w14:paraId="08968A1D" w14:textId="77777777" w:rsidR="002C0D1E" w:rsidRPr="00ED2953" w:rsidRDefault="002C0D1E" w:rsidP="00F37BD2">
      <w:pPr>
        <w:pStyle w:val="Heading2"/>
        <w:rPr>
          <w:highlight w:val="yellow"/>
        </w:rPr>
      </w:pPr>
      <w:r w:rsidRPr="00ED2953">
        <w:rPr>
          <w:highlight w:val="yellow"/>
        </w:rPr>
        <w:t>Support for outbreak management, vaccination and a focus on social, health and economic recovery</w:t>
      </w:r>
    </w:p>
    <w:p w14:paraId="123D4072" w14:textId="77777777" w:rsidR="002C0D1E" w:rsidRPr="002C0D1E" w:rsidRDefault="002C0D1E" w:rsidP="00A77B28">
      <w:pPr>
        <w:pStyle w:val="DHHSbody"/>
        <w:spacing w:after="80"/>
        <w:rPr>
          <w:highlight w:val="yellow"/>
        </w:rPr>
      </w:pPr>
      <w:r w:rsidRPr="002C0D1E">
        <w:rPr>
          <w:highlight w:val="yellow"/>
        </w:rPr>
        <w:t>HRAR will continue to focus on outbreak management facilitating access to vaccination and Rapid antigen testing and will also</w:t>
      </w:r>
      <w:bookmarkStart w:id="22" w:name="_Hlk90975909"/>
      <w:r w:rsidRPr="002C0D1E">
        <w:rPr>
          <w:highlight w:val="yellow"/>
        </w:rPr>
        <w:t xml:space="preserve"> focus on community engagement and active linkages for priority communities and those most at risk, with an emphasis on social and economic recovery​.</w:t>
      </w:r>
      <w:bookmarkEnd w:id="22"/>
    </w:p>
    <w:p w14:paraId="52DE1AF2" w14:textId="77777777" w:rsidR="002C0D1E" w:rsidRPr="002C0D1E" w:rsidRDefault="002C0D1E" w:rsidP="00A77B28">
      <w:pPr>
        <w:pStyle w:val="DHHSbody"/>
        <w:spacing w:after="80"/>
        <w:rPr>
          <w:highlight w:val="yellow"/>
        </w:rPr>
      </w:pPr>
      <w:bookmarkStart w:id="23" w:name="_Hlk90975954"/>
      <w:r w:rsidRPr="002C0D1E">
        <w:rPr>
          <w:highlight w:val="yellow"/>
        </w:rPr>
        <w:t>The approach to different settings will be guided by risk; tailored to meet people's needs in priority communities, and target engagement to those at risk of adverse health outcomes and social disadvantage. </w:t>
      </w:r>
    </w:p>
    <w:bookmarkEnd w:id="23"/>
    <w:p w14:paraId="2DBCA555" w14:textId="77777777" w:rsidR="002C0D1E" w:rsidRPr="002C0D1E" w:rsidRDefault="002C0D1E" w:rsidP="00A77B28">
      <w:pPr>
        <w:pStyle w:val="DHHSbody"/>
        <w:spacing w:after="80"/>
        <w:rPr>
          <w:highlight w:val="green"/>
        </w:rPr>
      </w:pPr>
      <w:r w:rsidRPr="002C0D1E">
        <w:rPr>
          <w:highlight w:val="yellow"/>
        </w:rPr>
        <w:t>In an outbreak situation, DFFH HRAR Divisional staff will maintain focus on outbreak response management for highest risk cohorts and settings at the direction of the Department of Health or Local Public Health Unit. They will work with Lead Providers to design and deliver services according to the facility/dwelling risk rating and characteristics of people and their specific situation. Resident isolation support will align with Department of Health directions.</w:t>
      </w:r>
    </w:p>
    <w:p w14:paraId="391F8B8A" w14:textId="77777777" w:rsidR="002C0D1E" w:rsidRPr="002C0D1E" w:rsidRDefault="002C0D1E" w:rsidP="00A77B28">
      <w:pPr>
        <w:pStyle w:val="DHHSbody"/>
        <w:spacing w:after="80"/>
        <w:rPr>
          <w:highlight w:val="yellow"/>
        </w:rPr>
      </w:pPr>
      <w:r w:rsidRPr="002C0D1E">
        <w:rPr>
          <w:highlight w:val="yellow"/>
        </w:rPr>
        <w:t xml:space="preserve">From January 2022, HRAR Divisional staff will work with Lead Providers and other stakeholders to understand how we can best adopt the risk-based approach to determine priority HRAR in scope settings and focus effort through a tailored approach based on identified risk. </w:t>
      </w:r>
    </w:p>
    <w:p w14:paraId="0A3908EC" w14:textId="77777777" w:rsidR="002C0D1E" w:rsidRPr="002C0D1E" w:rsidRDefault="002C0D1E" w:rsidP="00A77B28">
      <w:pPr>
        <w:pStyle w:val="DHHSbody"/>
        <w:spacing w:after="80"/>
        <w:rPr>
          <w:highlight w:val="yellow"/>
        </w:rPr>
      </w:pPr>
      <w:r w:rsidRPr="002C0D1E">
        <w:rPr>
          <w:highlight w:val="yellow"/>
        </w:rPr>
        <w:t>Using the current facility/dwelling risk ratings for each setting, the risk approach should be:</w:t>
      </w:r>
    </w:p>
    <w:p w14:paraId="49180CC4" w14:textId="77777777" w:rsidR="002C0D1E" w:rsidRPr="002C0D1E" w:rsidRDefault="002C0D1E" w:rsidP="002853C2">
      <w:pPr>
        <w:pStyle w:val="Bullet1"/>
        <w:numPr>
          <w:ilvl w:val="0"/>
          <w:numId w:val="18"/>
        </w:numPr>
        <w:rPr>
          <w:highlight w:val="yellow"/>
        </w:rPr>
      </w:pPr>
      <w:r w:rsidRPr="002C0D1E">
        <w:rPr>
          <w:highlight w:val="yellow"/>
        </w:rPr>
        <w:t>Identifying settings with individuals and priority communities experiencing ongoing disadvantage that would see continued benefit from community engagement, prevention and preparedness and active linkage activities to support ongoing social, health and economic recovery</w:t>
      </w:r>
    </w:p>
    <w:p w14:paraId="3AAE9C89" w14:textId="77777777" w:rsidR="002C0D1E" w:rsidRPr="002C0D1E" w:rsidRDefault="002C0D1E" w:rsidP="002853C2">
      <w:pPr>
        <w:pStyle w:val="Bullet1"/>
        <w:numPr>
          <w:ilvl w:val="0"/>
          <w:numId w:val="18"/>
        </w:numPr>
        <w:rPr>
          <w:highlight w:val="yellow"/>
        </w:rPr>
      </w:pPr>
      <w:r w:rsidRPr="002C0D1E">
        <w:rPr>
          <w:highlight w:val="yellow"/>
        </w:rPr>
        <w:t>Identifying settings that remain high risk in the event of an outbreak</w:t>
      </w:r>
    </w:p>
    <w:p w14:paraId="57B80BBC" w14:textId="77777777" w:rsidR="002C0D1E" w:rsidRPr="002C0D1E" w:rsidRDefault="002C0D1E" w:rsidP="00A77B28">
      <w:pPr>
        <w:pStyle w:val="DHHSbodyafterbullets"/>
        <w:spacing w:after="80"/>
        <w:rPr>
          <w:highlight w:val="yellow"/>
        </w:rPr>
      </w:pPr>
      <w:bookmarkStart w:id="24" w:name="_Hlk90909002"/>
      <w:r w:rsidRPr="002C0D1E">
        <w:rPr>
          <w:highlight w:val="yellow"/>
        </w:rPr>
        <w:t>If Lead Providers determine a facility/dwelling is a high-risk priority cohort that is not currently listed as a current HRAR in scope settings, it can be included at the discretion of HRAR Divisional staff. Lead Providers are to obtain HRAR Divisional approval before engaging with tenants/residents at the setting.</w:t>
      </w:r>
    </w:p>
    <w:p w14:paraId="4AA70E94" w14:textId="77777777" w:rsidR="002C0D1E" w:rsidRPr="002C0D1E" w:rsidRDefault="002C0D1E" w:rsidP="00A77B28">
      <w:pPr>
        <w:pStyle w:val="DHHSbody"/>
        <w:spacing w:after="80"/>
        <w:rPr>
          <w:highlight w:val="yellow"/>
        </w:rPr>
      </w:pPr>
      <w:r w:rsidRPr="002C0D1E">
        <w:rPr>
          <w:highlight w:val="yellow"/>
        </w:rPr>
        <w:t>Conversely, if DFFH HRAR staff determine a facility/dwelling is a high-risk priority cohort that is not currently listed as a current HRAR in scope settings and requires support, DFFH HRAR staff will work with Lead Providers to provide the required support.</w:t>
      </w:r>
    </w:p>
    <w:bookmarkEnd w:id="24"/>
    <w:p w14:paraId="05E71118" w14:textId="77777777" w:rsidR="002C0D1E" w:rsidRPr="002C0D1E" w:rsidRDefault="002C0D1E" w:rsidP="00A77B28">
      <w:pPr>
        <w:pStyle w:val="DHHSbody"/>
        <w:spacing w:after="80"/>
        <w:rPr>
          <w:szCs w:val="21"/>
        </w:rPr>
      </w:pPr>
      <w:r w:rsidRPr="002C0D1E">
        <w:rPr>
          <w:szCs w:val="21"/>
          <w:highlight w:val="yellow"/>
        </w:rPr>
        <w:t>Outbreak support management scope settings have changed as described above AND the continued inclusion of homelessness hotels which is noted in Appendix 5 of the Service Specifications. When outbreaks occur, Lead Providers will be deployed as directed by the Department of Health, Local Public Health Unit and the HRAR Division Deputy Agency Commander. This will include isolation support as directed by the DH.</w:t>
      </w:r>
    </w:p>
    <w:p w14:paraId="49266EAC" w14:textId="77777777" w:rsidR="002C0D1E" w:rsidRPr="000112A3" w:rsidRDefault="002C0D1E" w:rsidP="000112A3">
      <w:pPr>
        <w:pStyle w:val="Heading1"/>
      </w:pPr>
      <w:bookmarkStart w:id="25" w:name="_Toc93219777"/>
      <w:bookmarkStart w:id="26" w:name="_Toc93905389"/>
      <w:r w:rsidRPr="000112A3">
        <w:lastRenderedPageBreak/>
        <w:t>Catchment approach and boundaries</w:t>
      </w:r>
      <w:bookmarkEnd w:id="25"/>
      <w:bookmarkEnd w:id="26"/>
    </w:p>
    <w:p w14:paraId="62708949" w14:textId="77777777" w:rsidR="002C0D1E" w:rsidRPr="002C0D1E" w:rsidRDefault="002C0D1E" w:rsidP="00ED2953">
      <w:pPr>
        <w:pStyle w:val="DHHSbody"/>
      </w:pPr>
      <w:r w:rsidRPr="00A77B28">
        <w:t>Catchments</w:t>
      </w:r>
      <w:r w:rsidRPr="002C0D1E">
        <w:t xml:space="preserve"> cover all in scope accommodation (government and non-government) within a specified geographic area. Catchment boundaries remain as follows:</w:t>
      </w:r>
    </w:p>
    <w:p w14:paraId="124F9654" w14:textId="77777777" w:rsidR="002C0D1E" w:rsidRPr="002C0D1E" w:rsidRDefault="002C0D1E" w:rsidP="004C1E48">
      <w:pPr>
        <w:pStyle w:val="Bullet1"/>
      </w:pPr>
      <w:r w:rsidRPr="002C0D1E">
        <w:t>For areas with a high density of units, catchments have been defined along the LGA boundaries – ten LGAs fall within this range, including sub-catchments.</w:t>
      </w:r>
    </w:p>
    <w:p w14:paraId="63768DF9" w14:textId="61DC21AE" w:rsidR="002C0D1E" w:rsidRDefault="002C0D1E" w:rsidP="004C1E48">
      <w:pPr>
        <w:pStyle w:val="Bullet1"/>
      </w:pPr>
      <w:r w:rsidRPr="002C0D1E">
        <w:t xml:space="preserve">For the remaining areas, to achieve a feasible scale of residents and number of catchments, catchments have been defined in line with the department's Area-based boundaries; 21 catchments fall within this range, including sub-catchments. </w:t>
      </w:r>
    </w:p>
    <w:p w14:paraId="445B7FF1" w14:textId="6E2CFD39" w:rsidR="002C0D1E" w:rsidRPr="000112A3" w:rsidRDefault="002C0D1E" w:rsidP="000112A3">
      <w:pPr>
        <w:pStyle w:val="Heading2"/>
      </w:pPr>
      <w:bookmarkStart w:id="27" w:name="_Toc93905390"/>
      <w:r w:rsidRPr="000112A3">
        <w:t>High-risk Accommodation Response catchments</w:t>
      </w:r>
      <w:bookmarkEnd w:id="27"/>
      <w:r w:rsidRPr="000112A3">
        <w:t xml:space="preserve"> </w:t>
      </w:r>
    </w:p>
    <w:p w14:paraId="4EFB58EF" w14:textId="561F9787" w:rsidR="00BE1A00" w:rsidRPr="00E82287" w:rsidRDefault="00BE1A00" w:rsidP="000112A3">
      <w:pPr>
        <w:pStyle w:val="Heading3"/>
      </w:pPr>
      <w:r w:rsidRPr="00E82287">
        <w:t>Local Government Area Catchments </w:t>
      </w:r>
    </w:p>
    <w:p w14:paraId="419B0C1D" w14:textId="77777777" w:rsidR="00E82287" w:rsidRDefault="00E82287" w:rsidP="000112A3">
      <w:pPr>
        <w:pStyle w:val="Heading4"/>
      </w:pPr>
      <w:r w:rsidRPr="00A77B28">
        <w:t>North Division</w:t>
      </w:r>
    </w:p>
    <w:p w14:paraId="742C8B00" w14:textId="77777777" w:rsidR="00E82287" w:rsidRPr="00E82287" w:rsidRDefault="00E82287" w:rsidP="004C1E48">
      <w:pPr>
        <w:pStyle w:val="Bullet1"/>
      </w:pPr>
      <w:r w:rsidRPr="00E82287">
        <w:t xml:space="preserve">Moreland </w:t>
      </w:r>
    </w:p>
    <w:p w14:paraId="6BDD705D" w14:textId="77777777" w:rsidR="00E82287" w:rsidRPr="00E82287" w:rsidRDefault="00E82287" w:rsidP="004C1E48">
      <w:pPr>
        <w:pStyle w:val="Bullet1"/>
      </w:pPr>
      <w:r w:rsidRPr="00E82287">
        <w:t>Yarra (Richmond)</w:t>
      </w:r>
    </w:p>
    <w:p w14:paraId="292C993F" w14:textId="77777777" w:rsidR="00E82287" w:rsidRPr="00E82287" w:rsidRDefault="00E82287" w:rsidP="004C1E48">
      <w:pPr>
        <w:pStyle w:val="Bullet1"/>
      </w:pPr>
      <w:r w:rsidRPr="00E82287">
        <w:t>Yarra (Fitzroy, Collingwood)</w:t>
      </w:r>
    </w:p>
    <w:p w14:paraId="2EFFCA4C" w14:textId="77777777" w:rsidR="00E82287" w:rsidRPr="00E82287" w:rsidRDefault="00E82287" w:rsidP="004C1E48">
      <w:pPr>
        <w:pStyle w:val="Bullet1"/>
      </w:pPr>
      <w:r w:rsidRPr="00E82287">
        <w:t>Darebin</w:t>
      </w:r>
    </w:p>
    <w:p w14:paraId="2600993B" w14:textId="77777777" w:rsidR="00E82287" w:rsidRPr="00E82287" w:rsidRDefault="00E82287" w:rsidP="004C1E48">
      <w:pPr>
        <w:pStyle w:val="Bullet1"/>
      </w:pPr>
      <w:r w:rsidRPr="00E82287">
        <w:t>Banyule</w:t>
      </w:r>
    </w:p>
    <w:p w14:paraId="39DE55FD" w14:textId="77777777" w:rsidR="00E82287" w:rsidRDefault="00E82287" w:rsidP="000112A3">
      <w:pPr>
        <w:pStyle w:val="Heading4"/>
      </w:pPr>
      <w:r w:rsidRPr="00A77B28">
        <w:t>South Division</w:t>
      </w:r>
    </w:p>
    <w:p w14:paraId="2195A07B" w14:textId="77777777" w:rsidR="00E82287" w:rsidRPr="00E82287" w:rsidRDefault="00E82287" w:rsidP="004C1E48">
      <w:pPr>
        <w:pStyle w:val="Bullet1"/>
      </w:pPr>
      <w:r w:rsidRPr="00E82287">
        <w:t>Port Philip</w:t>
      </w:r>
    </w:p>
    <w:p w14:paraId="043A52CC" w14:textId="77777777" w:rsidR="00E82287" w:rsidRPr="00E82287" w:rsidRDefault="00E82287" w:rsidP="004C1E48">
      <w:pPr>
        <w:pStyle w:val="Bullet1"/>
      </w:pPr>
      <w:r w:rsidRPr="00E82287">
        <w:t>Stonnington</w:t>
      </w:r>
    </w:p>
    <w:p w14:paraId="5A1B9966" w14:textId="77777777" w:rsidR="00E82287" w:rsidRDefault="00E82287" w:rsidP="000112A3">
      <w:pPr>
        <w:pStyle w:val="Heading4"/>
      </w:pPr>
      <w:r w:rsidRPr="00A77B28">
        <w:t>East Division</w:t>
      </w:r>
    </w:p>
    <w:p w14:paraId="6FD8D543" w14:textId="77777777" w:rsidR="00E82287" w:rsidRDefault="00E82287" w:rsidP="004C1E48">
      <w:pPr>
        <w:pStyle w:val="Bullet1"/>
      </w:pPr>
      <w:r w:rsidRPr="00E82287">
        <w:t>Monash</w:t>
      </w:r>
    </w:p>
    <w:p w14:paraId="1542830D" w14:textId="77777777" w:rsidR="00E82287" w:rsidRDefault="00E82287" w:rsidP="000112A3">
      <w:pPr>
        <w:pStyle w:val="Heading4"/>
      </w:pPr>
      <w:r w:rsidRPr="00A77B28">
        <w:t xml:space="preserve">West </w:t>
      </w:r>
      <w:r w:rsidRPr="00E82287">
        <w:t>Division</w:t>
      </w:r>
    </w:p>
    <w:p w14:paraId="33AA3DB9" w14:textId="77777777" w:rsidR="00E82287" w:rsidRDefault="00E82287" w:rsidP="004C1E48">
      <w:pPr>
        <w:pStyle w:val="Bullet1"/>
      </w:pPr>
      <w:r w:rsidRPr="00A77B28">
        <w:t xml:space="preserve">Melbourne </w:t>
      </w:r>
    </w:p>
    <w:p w14:paraId="250EBE4C" w14:textId="77777777" w:rsidR="00E82287" w:rsidRDefault="00E82287" w:rsidP="004C1E48">
      <w:pPr>
        <w:pStyle w:val="Bullet1"/>
      </w:pPr>
      <w:r w:rsidRPr="00A77B28">
        <w:t>Moonee Valley</w:t>
      </w:r>
    </w:p>
    <w:p w14:paraId="2F82FA71" w14:textId="77777777" w:rsidR="00E82287" w:rsidRDefault="00E82287" w:rsidP="000112A3">
      <w:pPr>
        <w:pStyle w:val="Heading3"/>
      </w:pPr>
      <w:r w:rsidRPr="002C0D1E">
        <w:t>DH Area-Level catchments </w:t>
      </w:r>
    </w:p>
    <w:p w14:paraId="4ECE896E" w14:textId="77777777" w:rsidR="00E82287" w:rsidRDefault="00E82287" w:rsidP="004C1E48">
      <w:pPr>
        <w:pStyle w:val="Bullet1"/>
      </w:pPr>
      <w:r w:rsidRPr="00A77B28">
        <w:t xml:space="preserve">Hume Moreland </w:t>
      </w:r>
    </w:p>
    <w:p w14:paraId="647B2CA2" w14:textId="77777777" w:rsidR="00E82287" w:rsidRDefault="00E82287" w:rsidP="004C1E48">
      <w:pPr>
        <w:pStyle w:val="Bullet1"/>
      </w:pPr>
      <w:r w:rsidRPr="00A77B28">
        <w:t>Loddon</w:t>
      </w:r>
    </w:p>
    <w:p w14:paraId="646C1D5D" w14:textId="77777777" w:rsidR="00E82287" w:rsidRDefault="00E82287" w:rsidP="004C1E48">
      <w:pPr>
        <w:pStyle w:val="Bullet1"/>
      </w:pPr>
      <w:r w:rsidRPr="00A77B28">
        <w:t>North Eastern Melbourne</w:t>
      </w:r>
    </w:p>
    <w:p w14:paraId="22AF62D0" w14:textId="77777777" w:rsidR="00E82287" w:rsidRDefault="00E82287" w:rsidP="004C1E48">
      <w:pPr>
        <w:pStyle w:val="Bullet1"/>
      </w:pPr>
      <w:r w:rsidRPr="00A77B28">
        <w:t xml:space="preserve">Mallee (Mildura) </w:t>
      </w:r>
    </w:p>
    <w:p w14:paraId="3D6E79DD" w14:textId="77777777" w:rsidR="00E82287" w:rsidRDefault="00E82287" w:rsidP="004C1E48">
      <w:pPr>
        <w:pStyle w:val="Bullet1"/>
      </w:pPr>
      <w:r w:rsidRPr="00A77B28">
        <w:t>Mallee (Buloke, Gannawarra, Swan Hill)</w:t>
      </w:r>
    </w:p>
    <w:p w14:paraId="5245E4E2" w14:textId="77777777" w:rsidR="00E82287" w:rsidRDefault="00E82287" w:rsidP="004C1E48">
      <w:pPr>
        <w:pStyle w:val="Bullet1"/>
      </w:pPr>
      <w:r w:rsidRPr="00A77B28">
        <w:t>Outer Gippsland – Wellington</w:t>
      </w:r>
    </w:p>
    <w:p w14:paraId="5E6A8485" w14:textId="77777777" w:rsidR="00E82287" w:rsidRDefault="00E82287" w:rsidP="004C1E48">
      <w:pPr>
        <w:pStyle w:val="Bullet1"/>
      </w:pPr>
      <w:r w:rsidRPr="00A77B28">
        <w:t xml:space="preserve">Outer Gippsland - East Gippsland </w:t>
      </w:r>
    </w:p>
    <w:p w14:paraId="376ADB07" w14:textId="77777777" w:rsidR="00E82287" w:rsidRPr="00A77B28" w:rsidRDefault="00E82287" w:rsidP="004C1E48">
      <w:pPr>
        <w:pStyle w:val="Bullet1"/>
      </w:pPr>
      <w:r w:rsidRPr="00A77B28">
        <w:t>Bayside Peninsula – Middle</w:t>
      </w:r>
    </w:p>
    <w:p w14:paraId="196166EC" w14:textId="77777777" w:rsidR="00E82287" w:rsidRPr="00A77B28" w:rsidRDefault="00E82287" w:rsidP="004C1E48">
      <w:pPr>
        <w:pStyle w:val="Bullet1"/>
      </w:pPr>
      <w:r w:rsidRPr="00A77B28">
        <w:t xml:space="preserve">Bayside Peninsula – Lower </w:t>
      </w:r>
    </w:p>
    <w:p w14:paraId="48B63B3C" w14:textId="77777777" w:rsidR="00E82287" w:rsidRPr="00A77B28" w:rsidRDefault="00E82287" w:rsidP="004C1E48">
      <w:pPr>
        <w:pStyle w:val="Bullet1"/>
      </w:pPr>
      <w:r w:rsidRPr="00A77B28">
        <w:t xml:space="preserve">Southern Melbourne </w:t>
      </w:r>
    </w:p>
    <w:p w14:paraId="120B3BED" w14:textId="77777777" w:rsidR="00E82287" w:rsidRPr="00A77B28" w:rsidRDefault="00E82287" w:rsidP="004C1E48">
      <w:pPr>
        <w:pStyle w:val="Bullet1"/>
      </w:pPr>
      <w:r w:rsidRPr="00A77B28">
        <w:t>Inner Gippsland</w:t>
      </w:r>
    </w:p>
    <w:p w14:paraId="54069F61" w14:textId="77777777" w:rsidR="00E82287" w:rsidRPr="00A77B28" w:rsidRDefault="00E82287" w:rsidP="004C1E48">
      <w:pPr>
        <w:pStyle w:val="Bullet1"/>
      </w:pPr>
      <w:r w:rsidRPr="00A77B28">
        <w:t xml:space="preserve">Inner Eastern Melbourne </w:t>
      </w:r>
    </w:p>
    <w:p w14:paraId="1D1D337E" w14:textId="77777777" w:rsidR="00E82287" w:rsidRPr="00A77B28" w:rsidRDefault="00E82287" w:rsidP="004C1E48">
      <w:pPr>
        <w:pStyle w:val="Bullet1"/>
      </w:pPr>
      <w:r w:rsidRPr="00A77B28">
        <w:t xml:space="preserve">Outer Eastern Melbourne </w:t>
      </w:r>
    </w:p>
    <w:p w14:paraId="044D27CB" w14:textId="77777777" w:rsidR="00E82287" w:rsidRPr="00A77B28" w:rsidRDefault="00E82287" w:rsidP="004C1E48">
      <w:pPr>
        <w:pStyle w:val="Bullet1"/>
      </w:pPr>
      <w:r w:rsidRPr="00A77B28">
        <w:t xml:space="preserve">Goulburn </w:t>
      </w:r>
    </w:p>
    <w:p w14:paraId="1EFC4102" w14:textId="77777777" w:rsidR="00E82287" w:rsidRPr="00A77B28" w:rsidRDefault="00E82287" w:rsidP="004C1E48">
      <w:pPr>
        <w:pStyle w:val="Bullet1"/>
      </w:pPr>
      <w:r w:rsidRPr="00A77B28">
        <w:t>Ovens Murray</w:t>
      </w:r>
    </w:p>
    <w:p w14:paraId="4E56AE49" w14:textId="77777777" w:rsidR="00E82287" w:rsidRPr="00A77B28" w:rsidRDefault="00E82287" w:rsidP="004C1E48">
      <w:pPr>
        <w:pStyle w:val="Bullet1"/>
      </w:pPr>
      <w:r w:rsidRPr="00A77B28">
        <w:t xml:space="preserve">Western Melbourne </w:t>
      </w:r>
    </w:p>
    <w:p w14:paraId="6E690813" w14:textId="77777777" w:rsidR="00E82287" w:rsidRPr="00A77B28" w:rsidRDefault="00E82287" w:rsidP="004C1E48">
      <w:pPr>
        <w:pStyle w:val="Bullet1"/>
      </w:pPr>
      <w:r w:rsidRPr="00A77B28">
        <w:t>Barwon</w:t>
      </w:r>
    </w:p>
    <w:p w14:paraId="4E67ADC6" w14:textId="77777777" w:rsidR="00E82287" w:rsidRPr="00A77B28" w:rsidRDefault="00E82287" w:rsidP="004C1E48">
      <w:pPr>
        <w:pStyle w:val="Bullet1"/>
      </w:pPr>
      <w:r w:rsidRPr="00A77B28">
        <w:lastRenderedPageBreak/>
        <w:t xml:space="preserve">Brimbank Melton </w:t>
      </w:r>
    </w:p>
    <w:p w14:paraId="7A825BEB" w14:textId="77777777" w:rsidR="00E82287" w:rsidRPr="00A77B28" w:rsidRDefault="00E82287" w:rsidP="004C1E48">
      <w:pPr>
        <w:pStyle w:val="Bullet1"/>
      </w:pPr>
      <w:r w:rsidRPr="00A77B28">
        <w:t>Central Highlands</w:t>
      </w:r>
    </w:p>
    <w:p w14:paraId="760D4226" w14:textId="77777777" w:rsidR="00E82287" w:rsidRPr="00A77B28" w:rsidRDefault="00E82287" w:rsidP="004C1E48">
      <w:pPr>
        <w:pStyle w:val="Bullet1"/>
      </w:pPr>
      <w:r w:rsidRPr="00A77B28">
        <w:t xml:space="preserve">Wimmera South West – South West </w:t>
      </w:r>
    </w:p>
    <w:p w14:paraId="75AFAEB4" w14:textId="77777777" w:rsidR="00E82287" w:rsidRPr="00A77B28" w:rsidRDefault="00E82287" w:rsidP="004C1E48">
      <w:pPr>
        <w:pStyle w:val="Bullet1"/>
      </w:pPr>
      <w:r w:rsidRPr="00A77B28">
        <w:t>Wimmera South West – Wimmera</w:t>
      </w:r>
    </w:p>
    <w:p w14:paraId="2A358247" w14:textId="77777777" w:rsidR="002C0D1E" w:rsidRPr="002C0D1E" w:rsidRDefault="002C0D1E" w:rsidP="00E82287">
      <w:pPr>
        <w:pStyle w:val="DHHSbodyafterbullets"/>
      </w:pPr>
      <w:r w:rsidRPr="002C0D1E">
        <w:t>In addition, LPHUs and Disability Liaison Officers, also cover the state but boundaries differ from those used to define the catchments (Appendix 6).</w:t>
      </w:r>
    </w:p>
    <w:p w14:paraId="3C8A35FB" w14:textId="77777777" w:rsidR="002C0D1E" w:rsidRDefault="002C0D1E" w:rsidP="00E82287">
      <w:pPr>
        <w:pStyle w:val="Heading1"/>
      </w:pPr>
      <w:bookmarkStart w:id="28" w:name="_Toc93219778"/>
      <w:bookmarkStart w:id="29" w:name="_Toc93905391"/>
      <w:r w:rsidRPr="00E82287">
        <w:t>Service</w:t>
      </w:r>
      <w:r>
        <w:t xml:space="preserve"> Specifications</w:t>
      </w:r>
      <w:bookmarkEnd w:id="28"/>
      <w:bookmarkEnd w:id="29"/>
      <w:r>
        <w:t xml:space="preserve"> </w:t>
      </w:r>
    </w:p>
    <w:p w14:paraId="1D45A033" w14:textId="77777777" w:rsidR="002C0D1E" w:rsidRPr="00287BA0" w:rsidRDefault="002C0D1E" w:rsidP="00287BA0">
      <w:pPr>
        <w:pStyle w:val="DHHSbody"/>
      </w:pPr>
      <w:r w:rsidRPr="00287BA0">
        <w:t>The three levels of operations within the HRAR Extension remain, each with a geographic reach:</w:t>
      </w:r>
    </w:p>
    <w:p w14:paraId="131F78FB" w14:textId="77777777" w:rsidR="002C0D1E" w:rsidRPr="002C0D1E" w:rsidRDefault="002C0D1E" w:rsidP="002853C2">
      <w:pPr>
        <w:pStyle w:val="Bullet1"/>
        <w:numPr>
          <w:ilvl w:val="0"/>
          <w:numId w:val="19"/>
        </w:numPr>
      </w:pPr>
      <w:r w:rsidRPr="002C0D1E">
        <w:t xml:space="preserve">Lead Providers work at the catchment level within the 31 catchments to deliver a local response. </w:t>
      </w:r>
    </w:p>
    <w:p w14:paraId="3970EE5B" w14:textId="77777777" w:rsidR="002C0D1E" w:rsidRPr="002C0D1E" w:rsidRDefault="002C0D1E" w:rsidP="002853C2">
      <w:pPr>
        <w:pStyle w:val="Bullet1"/>
        <w:numPr>
          <w:ilvl w:val="0"/>
          <w:numId w:val="19"/>
        </w:numPr>
      </w:pPr>
      <w:r w:rsidRPr="002C0D1E">
        <w:t>The 31 catchments are each allocated to one of the four departmental divisions: North, South, East or West. Divisional staff offer a wider, but still focused perspective on the geographical division in which they operate.</w:t>
      </w:r>
    </w:p>
    <w:p w14:paraId="3C74E33D" w14:textId="77777777" w:rsidR="002C0D1E" w:rsidRPr="002C0D1E" w:rsidRDefault="002C0D1E" w:rsidP="002853C2">
      <w:pPr>
        <w:pStyle w:val="Bullet1"/>
        <w:numPr>
          <w:ilvl w:val="0"/>
          <w:numId w:val="19"/>
        </w:numPr>
      </w:pPr>
      <w:r w:rsidRPr="002C0D1E">
        <w:t>RREM provides a state-wide perspective and coordinates operations between the Divisions as well as those services which cross into more than one catchment.</w:t>
      </w:r>
    </w:p>
    <w:p w14:paraId="6B3E6E41" w14:textId="77777777" w:rsidR="002C0D1E" w:rsidRDefault="002C0D1E" w:rsidP="002C0D1E">
      <w:pPr>
        <w:pStyle w:val="Heading2"/>
      </w:pPr>
      <w:bookmarkStart w:id="30" w:name="_Toc93219779"/>
      <w:bookmarkStart w:id="31" w:name="_Toc93905392"/>
      <w:r>
        <w:t>Roles and responsibilities</w:t>
      </w:r>
      <w:bookmarkEnd w:id="30"/>
      <w:bookmarkEnd w:id="31"/>
    </w:p>
    <w:p w14:paraId="55189E4F" w14:textId="77777777" w:rsidR="002C0D1E" w:rsidRDefault="002C0D1E" w:rsidP="002C0D1E">
      <w:pPr>
        <w:pStyle w:val="Heading3"/>
      </w:pPr>
      <w:r>
        <w:t>The role of the Lead Provider</w:t>
      </w:r>
    </w:p>
    <w:p w14:paraId="2C7E2FB7" w14:textId="77777777" w:rsidR="002C0D1E" w:rsidRPr="00287BA0" w:rsidRDefault="002C0D1E" w:rsidP="00287BA0">
      <w:pPr>
        <w:pStyle w:val="DHHSbody"/>
      </w:pPr>
      <w:r w:rsidRPr="00287BA0">
        <w:t>Lead Providers will continue to be agile, flexible and creative. The HRAR Extensions are an exercise in partnership – maintaining trusted pathways to ensure an appropriate human services response for those in high-risk accommodation settings when tenants and residents need a helping hand. This iteration of HRAR offers the opportunity for Lead Providers to continue to forge a lasting legacy with some of our most disadvantaged community members.</w:t>
      </w:r>
    </w:p>
    <w:p w14:paraId="7FF95259" w14:textId="77777777" w:rsidR="002C0D1E" w:rsidRPr="00287BA0" w:rsidRDefault="002C0D1E" w:rsidP="00287BA0">
      <w:pPr>
        <w:pStyle w:val="DHHSbody"/>
      </w:pPr>
      <w:r w:rsidRPr="00287BA0">
        <w:t>Lead Providers are aware that not all settings are homogenous across the board. While there may be similarities between most rooming houses, there may be some that are more like an SRS; there may be some blocks of community housing units that feel far more like a high rise. It remains the Lead Provider’s role to identify appropriate activities and methods of engagement based on the characteristics of each setting. The Risk Assessment, which forms part of the suite of reporting tools, will assist in this process (Appendix 5).</w:t>
      </w:r>
    </w:p>
    <w:p w14:paraId="1AD91C7E" w14:textId="77777777" w:rsidR="002C0D1E" w:rsidRPr="00287BA0" w:rsidRDefault="002C0D1E" w:rsidP="00287BA0">
      <w:pPr>
        <w:pStyle w:val="DHHSbody"/>
      </w:pPr>
      <w:r w:rsidRPr="00287BA0">
        <w:t>Lead Providers may continue to partner with others or defer to overarching mechanisms already in place for the provision of some of the service objectives. This remains a key tool used to avoid duplication of services and allow the Lead Provider to identify and fill service gaps.  Where there is a lack of clarity around service provision, it is expected that Lead Providers will action. For example, if it is unclear who will work with residents and staff in a disability setting to help them best apply infection prevention and control principles, the lead provider will offer to action.</w:t>
      </w:r>
    </w:p>
    <w:p w14:paraId="1626C081" w14:textId="77777777" w:rsidR="002C0D1E" w:rsidRPr="00287BA0" w:rsidRDefault="002C0D1E" w:rsidP="00287BA0">
      <w:pPr>
        <w:pStyle w:val="DHHSbody"/>
      </w:pPr>
      <w:r w:rsidRPr="00287BA0">
        <w:t xml:space="preserve">In the HRAR Extension (January 2022) disability residential services remain in scope. It is the Lead Providers responsibility to ensure that all HRAR service pillars are offered in these settings and that highest risk settings are identified and offered additional support if required. </w:t>
      </w:r>
    </w:p>
    <w:p w14:paraId="67B3C737" w14:textId="77777777" w:rsidR="002C0D1E" w:rsidRDefault="002C0D1E" w:rsidP="002C0D1E">
      <w:pPr>
        <w:pStyle w:val="Heading3"/>
      </w:pPr>
      <w:bookmarkStart w:id="32" w:name="_Toc67381487"/>
      <w:r>
        <w:t>The role of the HRAR Divisional Team</w:t>
      </w:r>
      <w:bookmarkEnd w:id="32"/>
    </w:p>
    <w:p w14:paraId="76EE6537" w14:textId="77777777" w:rsidR="002C0D1E" w:rsidRPr="002C0D1E" w:rsidRDefault="002C0D1E" w:rsidP="00ED2953">
      <w:pPr>
        <w:pStyle w:val="DHHSbody"/>
      </w:pPr>
      <w:r w:rsidRPr="002C0D1E">
        <w:t>The HRAR Extension Divisional Team remain the key liaison between the Lead Providers and the Department’s Central Team. The Divisional Teams are responsible for ensuring Lead Providers have the tools and supports they need to deliver the contracted work and meet contractual obligations.</w:t>
      </w:r>
    </w:p>
    <w:p w14:paraId="32ADDFD3" w14:textId="77777777" w:rsidR="002C0D1E" w:rsidRDefault="002C0D1E" w:rsidP="002C0D1E">
      <w:pPr>
        <w:pStyle w:val="Heading3"/>
      </w:pPr>
      <w:bookmarkStart w:id="33" w:name="_Toc67381488"/>
      <w:r>
        <w:t xml:space="preserve">The role of </w:t>
      </w:r>
      <w:bookmarkEnd w:id="33"/>
      <w:r>
        <w:t>RREM Central Team</w:t>
      </w:r>
    </w:p>
    <w:p w14:paraId="53706A68" w14:textId="77777777" w:rsidR="002C0D1E" w:rsidRPr="00287BA0" w:rsidRDefault="002C0D1E" w:rsidP="00287BA0">
      <w:pPr>
        <w:pStyle w:val="DHHSbody"/>
      </w:pPr>
      <w:r w:rsidRPr="00287BA0">
        <w:t>The RREM is the link between the Department of Health VIC (DH), interpreting key messages from the Chief Health Officer and that Department, and relaying messaging via the Divisional Teams to Lead Providers.</w:t>
      </w:r>
    </w:p>
    <w:p w14:paraId="1AAEFFEF" w14:textId="77777777" w:rsidR="002C0D1E" w:rsidRPr="00287BA0" w:rsidRDefault="002C0D1E" w:rsidP="00287BA0">
      <w:pPr>
        <w:pStyle w:val="DHHSbody"/>
      </w:pPr>
      <w:r w:rsidRPr="00287BA0">
        <w:lastRenderedPageBreak/>
        <w:t xml:space="preserve">The RREM is also the liaison between state-wide services and the Divisions. State-wide services include peak bodies such as the Victorian Healthcare Association or Community Housing Industry Association (Victoria), broader regulatory bodies such as the Authorised Officers from both Health and SRS, WorkSafe, Municipal Association of Victoria and Consumer Affairs Victoria. RREM also coordinates service delivery to avoid duplication. This generally occurs when a large entity of one form or another, has multiple settings bridging multiple catchments. Rather than a Lead Provider from each catchment separately coordinating service delivery, this task will be done centrally by RREM in partnership with the Lead Provider. </w:t>
      </w:r>
    </w:p>
    <w:p w14:paraId="469D39BB" w14:textId="77777777" w:rsidR="002C0D1E" w:rsidRPr="00287BA0" w:rsidRDefault="002C0D1E" w:rsidP="00287BA0">
      <w:pPr>
        <w:pStyle w:val="DHHSbody"/>
      </w:pPr>
      <w:r w:rsidRPr="00287BA0">
        <w:t xml:space="preserve">RREM will also continue to provide overarching guidance to Lead Providers in engagement and communications activities, ensuring that activities by Lead Providers align with those managed by DH, DFFH and other Victorian government departments. </w:t>
      </w:r>
    </w:p>
    <w:p w14:paraId="18BCA6D5" w14:textId="77777777" w:rsidR="002C0D1E" w:rsidRDefault="002C0D1E" w:rsidP="002C0D1E">
      <w:pPr>
        <w:pStyle w:val="Heading2"/>
      </w:pPr>
      <w:bookmarkStart w:id="34" w:name="_Toc93219780"/>
      <w:bookmarkStart w:id="35" w:name="_Toc93905393"/>
      <w:r w:rsidRPr="79B3A37C">
        <w:t>The tiered approach</w:t>
      </w:r>
      <w:bookmarkEnd w:id="34"/>
      <w:bookmarkEnd w:id="35"/>
    </w:p>
    <w:p w14:paraId="18590270" w14:textId="77777777" w:rsidR="002C0D1E" w:rsidRPr="00287BA0" w:rsidRDefault="002C0D1E" w:rsidP="00287BA0">
      <w:pPr>
        <w:pStyle w:val="DHHSbody"/>
      </w:pPr>
      <w:r w:rsidRPr="00287BA0">
        <w:t xml:space="preserve">The HRAR Extension Operating Model consists of four tiers to assist Lead Providers in planning the intensity, composition, delivery method and extent of service provision and remains unchanged in this HRAR Extension. Tiers do not necessarily reflect ascending or descending risk, but rather reflect variations in risk profile due to differences in setting characteristics. </w:t>
      </w:r>
    </w:p>
    <w:p w14:paraId="29BF39FC" w14:textId="77777777" w:rsidR="002C0D1E" w:rsidRPr="00287BA0" w:rsidRDefault="002C0D1E" w:rsidP="00287BA0">
      <w:pPr>
        <w:pStyle w:val="DHHSbody"/>
      </w:pPr>
      <w:r w:rsidRPr="00287BA0">
        <w:t xml:space="preserve">For example, high-rise housing fits in Tier 1 and represents large numbers of tenants living in close quarters with many shared spaces. To effectively provide HRAR Extension services to the highest number of people living in high-rise housing, staff are on-site via the concierge program. However, that intensity of service is not required to deliver the same program in a five-person rooming house. </w:t>
      </w:r>
    </w:p>
    <w:p w14:paraId="28205456" w14:textId="77777777" w:rsidR="002C0D1E" w:rsidRPr="00287BA0" w:rsidRDefault="002C0D1E" w:rsidP="00287BA0">
      <w:pPr>
        <w:pStyle w:val="DHHSbody"/>
      </w:pPr>
      <w:r w:rsidRPr="00287BA0">
        <w:t>Similarly, it is likely that Tier 1 properties will be offered all the HRAR Extension services, including the requirement for a widely known COVIDSafe plan. This same expectation, however, may not apply to a rooming house.</w:t>
      </w:r>
    </w:p>
    <w:p w14:paraId="7B502E45" w14:textId="1DBF9536" w:rsidR="002C0D1E" w:rsidRPr="000112A3" w:rsidRDefault="002C0D1E" w:rsidP="000112A3">
      <w:pPr>
        <w:pStyle w:val="DHHSbody"/>
        <w:rPr>
          <w:rStyle w:val="Strong"/>
        </w:rPr>
      </w:pPr>
      <w:r w:rsidRPr="000112A3">
        <w:rPr>
          <w:rStyle w:val="Strong"/>
        </w:rPr>
        <w:t>Tier 1:</w:t>
      </w:r>
      <w:r w:rsidR="00287BA0" w:rsidRPr="000112A3">
        <w:rPr>
          <w:rStyle w:val="Strong"/>
        </w:rPr>
        <w:t xml:space="preserve"> </w:t>
      </w:r>
      <w:r w:rsidRPr="000112A3">
        <w:rPr>
          <w:rStyle w:val="Strong"/>
        </w:rPr>
        <w:t xml:space="preserve">Public Housing settings </w:t>
      </w:r>
    </w:p>
    <w:p w14:paraId="4E0C14C3" w14:textId="77777777" w:rsidR="002C0D1E" w:rsidRPr="002C0D1E" w:rsidRDefault="002C0D1E" w:rsidP="004C1E48">
      <w:pPr>
        <w:pStyle w:val="Bullet1"/>
        <w:rPr>
          <w:rFonts w:eastAsia="Arial" w:cs="Arial"/>
        </w:rPr>
      </w:pPr>
      <w:r w:rsidRPr="002C0D1E">
        <w:t xml:space="preserve">all high-rise </w:t>
      </w:r>
      <w:r w:rsidRPr="00287BA0">
        <w:t>public</w:t>
      </w:r>
      <w:r w:rsidRPr="002C0D1E">
        <w:t xml:space="preserve"> housing and high-risk medium-rise public housing</w:t>
      </w:r>
    </w:p>
    <w:p w14:paraId="408554E2" w14:textId="77777777" w:rsidR="002C0D1E" w:rsidRPr="002C0D1E" w:rsidRDefault="002C0D1E" w:rsidP="004C1E48">
      <w:pPr>
        <w:pStyle w:val="Bullet1"/>
        <w:rPr>
          <w:rFonts w:eastAsia="Arial" w:cs="Arial"/>
        </w:rPr>
      </w:pPr>
      <w:r w:rsidRPr="002C0D1E">
        <w:t>low-risk medium-rise public housing and all low-rise public housing</w:t>
      </w:r>
    </w:p>
    <w:p w14:paraId="561625FC" w14:textId="0E0C7088" w:rsidR="002C0D1E" w:rsidRPr="000112A3" w:rsidRDefault="002C0D1E" w:rsidP="000112A3">
      <w:pPr>
        <w:pStyle w:val="DHHSbodyafterbullets"/>
        <w:rPr>
          <w:rStyle w:val="Strong"/>
        </w:rPr>
      </w:pPr>
      <w:r w:rsidRPr="000112A3">
        <w:rPr>
          <w:rStyle w:val="Strong"/>
        </w:rPr>
        <w:t>Tier 2:</w:t>
      </w:r>
      <w:r w:rsidR="00287BA0" w:rsidRPr="000112A3">
        <w:rPr>
          <w:rStyle w:val="Strong"/>
        </w:rPr>
        <w:t xml:space="preserve"> </w:t>
      </w:r>
      <w:r w:rsidRPr="000112A3">
        <w:rPr>
          <w:rStyle w:val="Strong"/>
        </w:rPr>
        <w:t>Staffed settings</w:t>
      </w:r>
    </w:p>
    <w:p w14:paraId="2ABC241E" w14:textId="77777777" w:rsidR="002C0D1E" w:rsidRPr="002C0D1E" w:rsidRDefault="002C0D1E" w:rsidP="004C1E48">
      <w:pPr>
        <w:pStyle w:val="Bullet1"/>
      </w:pPr>
      <w:r w:rsidRPr="002C0D1E">
        <w:t xml:space="preserve">disability residential settings and </w:t>
      </w:r>
    </w:p>
    <w:p w14:paraId="0EC25823" w14:textId="77777777" w:rsidR="002C0D1E" w:rsidRPr="002C0D1E" w:rsidRDefault="002C0D1E" w:rsidP="004C1E48">
      <w:pPr>
        <w:pStyle w:val="Bullet1"/>
      </w:pPr>
      <w:r w:rsidRPr="002C0D1E">
        <w:t>supported residential services (SRS)</w:t>
      </w:r>
    </w:p>
    <w:p w14:paraId="50BBE3E5" w14:textId="77777777" w:rsidR="002C0D1E" w:rsidRPr="000112A3" w:rsidRDefault="002C0D1E" w:rsidP="000112A3">
      <w:pPr>
        <w:pStyle w:val="DHHSbodyafterbullets"/>
        <w:rPr>
          <w:rStyle w:val="Strong"/>
        </w:rPr>
      </w:pPr>
      <w:r w:rsidRPr="000112A3">
        <w:rPr>
          <w:rStyle w:val="Strong"/>
        </w:rPr>
        <w:t>Tier 3: Unstaffed settings</w:t>
      </w:r>
    </w:p>
    <w:p w14:paraId="5322B656" w14:textId="77777777" w:rsidR="002C0D1E" w:rsidRPr="002C0D1E" w:rsidRDefault="002C0D1E" w:rsidP="004C1E48">
      <w:pPr>
        <w:pStyle w:val="Bullet1"/>
      </w:pPr>
      <w:r w:rsidRPr="002C0D1E">
        <w:t>community housing</w:t>
      </w:r>
    </w:p>
    <w:p w14:paraId="75B9DB87" w14:textId="77777777" w:rsidR="002C0D1E" w:rsidRPr="002C0D1E" w:rsidRDefault="002C0D1E" w:rsidP="004C1E48">
      <w:pPr>
        <w:pStyle w:val="Bullet1"/>
      </w:pPr>
      <w:r w:rsidRPr="002C0D1E">
        <w:t xml:space="preserve">caravan parks and </w:t>
      </w:r>
    </w:p>
    <w:p w14:paraId="7627C586" w14:textId="77777777" w:rsidR="002C0D1E" w:rsidRPr="002C0D1E" w:rsidRDefault="002C0D1E" w:rsidP="004C1E48">
      <w:pPr>
        <w:pStyle w:val="Bullet1"/>
      </w:pPr>
      <w:r w:rsidRPr="002C0D1E">
        <w:t>rooming houses</w:t>
      </w:r>
    </w:p>
    <w:p w14:paraId="6ED18CB4" w14:textId="77777777" w:rsidR="002C0D1E" w:rsidRPr="000112A3" w:rsidRDefault="002C0D1E" w:rsidP="000112A3">
      <w:pPr>
        <w:pStyle w:val="DHHSbodyafterbullets"/>
        <w:rPr>
          <w:rStyle w:val="Strong"/>
        </w:rPr>
      </w:pPr>
      <w:r w:rsidRPr="000112A3">
        <w:rPr>
          <w:rStyle w:val="Strong"/>
        </w:rPr>
        <w:t>Tier 4: Other settings</w:t>
      </w:r>
    </w:p>
    <w:p w14:paraId="780FCC4C" w14:textId="77777777" w:rsidR="002C0D1E" w:rsidRPr="00287BA0" w:rsidRDefault="002C0D1E" w:rsidP="004C1E48">
      <w:pPr>
        <w:pStyle w:val="Bullet1"/>
      </w:pPr>
      <w:r w:rsidRPr="00287BA0">
        <w:t>disability community-based settings</w:t>
      </w:r>
    </w:p>
    <w:p w14:paraId="111D8A01" w14:textId="18F89487" w:rsidR="002C0D1E" w:rsidRPr="00287BA0" w:rsidRDefault="002C0D1E" w:rsidP="004C1E48">
      <w:pPr>
        <w:pStyle w:val="Bullet1"/>
      </w:pPr>
      <w:r w:rsidRPr="00287BA0">
        <w:t>other accommodation settings deemed to be in scope on a case by case basis.</w:t>
      </w:r>
    </w:p>
    <w:p w14:paraId="272B91EE" w14:textId="77777777" w:rsidR="00287BA0" w:rsidRDefault="00287BA0">
      <w:pPr>
        <w:spacing w:after="0" w:line="240" w:lineRule="auto"/>
        <w:rPr>
          <w:rFonts w:eastAsia="MS Gothic" w:cs="Arial"/>
          <w:bCs/>
          <w:color w:val="201547"/>
          <w:kern w:val="32"/>
          <w:sz w:val="44"/>
          <w:szCs w:val="44"/>
        </w:rPr>
      </w:pPr>
      <w:bookmarkStart w:id="36" w:name="_Toc93219781"/>
      <w:r>
        <w:br w:type="page"/>
      </w:r>
    </w:p>
    <w:p w14:paraId="7E33ABAE" w14:textId="0E45CF3A" w:rsidR="00CB7D21" w:rsidRPr="00FF1AE3" w:rsidRDefault="00CB7D21" w:rsidP="00CB7D21">
      <w:pPr>
        <w:pStyle w:val="Heading1"/>
      </w:pPr>
      <w:bookmarkStart w:id="37" w:name="_Toc93905394"/>
      <w:r>
        <w:lastRenderedPageBreak/>
        <w:t>The five service pillars of the HRAR Extension</w:t>
      </w:r>
      <w:bookmarkEnd w:id="36"/>
      <w:bookmarkEnd w:id="37"/>
      <w:r>
        <w:t xml:space="preserve"> </w:t>
      </w:r>
    </w:p>
    <w:p w14:paraId="1F4E3A48" w14:textId="77777777" w:rsidR="00CB7D21" w:rsidRPr="00CB7D21" w:rsidRDefault="00CB7D21" w:rsidP="002853C2">
      <w:pPr>
        <w:pStyle w:val="Bullet1"/>
        <w:numPr>
          <w:ilvl w:val="0"/>
          <w:numId w:val="20"/>
        </w:numPr>
      </w:pPr>
      <w:r w:rsidRPr="00CB7D21">
        <w:t>Catchment partnerships</w:t>
      </w:r>
    </w:p>
    <w:p w14:paraId="171EB09A" w14:textId="77777777" w:rsidR="00CB7D21" w:rsidRPr="00CB7D21" w:rsidRDefault="00CB7D21" w:rsidP="002853C2">
      <w:pPr>
        <w:pStyle w:val="Bullet1"/>
        <w:numPr>
          <w:ilvl w:val="0"/>
          <w:numId w:val="20"/>
        </w:numPr>
      </w:pPr>
      <w:r w:rsidRPr="00CB7D21">
        <w:t>Community engagement</w:t>
      </w:r>
    </w:p>
    <w:p w14:paraId="0F69D2A0" w14:textId="77777777" w:rsidR="00CB7D21" w:rsidRPr="00CB7D21" w:rsidRDefault="00CB7D21" w:rsidP="002853C2">
      <w:pPr>
        <w:pStyle w:val="Bullet1"/>
        <w:numPr>
          <w:ilvl w:val="0"/>
          <w:numId w:val="20"/>
        </w:numPr>
      </w:pPr>
      <w:r w:rsidRPr="00CB7D21">
        <w:t>Prevention and preparedness (including vaccination support)</w:t>
      </w:r>
    </w:p>
    <w:p w14:paraId="69C1ECF5" w14:textId="77777777" w:rsidR="00CB7D21" w:rsidRPr="00CB7D21" w:rsidRDefault="00CB7D21" w:rsidP="002853C2">
      <w:pPr>
        <w:pStyle w:val="Bullet1"/>
        <w:numPr>
          <w:ilvl w:val="0"/>
          <w:numId w:val="20"/>
        </w:numPr>
      </w:pPr>
      <w:r w:rsidRPr="00CB7D21">
        <w:t>Active linkage to health and social supports</w:t>
      </w:r>
    </w:p>
    <w:p w14:paraId="4FAC72FB" w14:textId="77777777" w:rsidR="00CB7D21" w:rsidRPr="00CB7D21" w:rsidRDefault="00CB7D21" w:rsidP="002853C2">
      <w:pPr>
        <w:pStyle w:val="Bullet1"/>
        <w:numPr>
          <w:ilvl w:val="0"/>
          <w:numId w:val="20"/>
        </w:numPr>
      </w:pPr>
      <w:r w:rsidRPr="00CB7D21">
        <w:t>Outbreak support</w:t>
      </w:r>
    </w:p>
    <w:p w14:paraId="6800E4D0" w14:textId="77777777" w:rsidR="00CB7D21" w:rsidRPr="00CB7D21" w:rsidRDefault="00CB7D21" w:rsidP="00287BA0">
      <w:pPr>
        <w:pStyle w:val="DHHSbodyafterbullets"/>
        <w:rPr>
          <w:rStyle w:val="normaltextrun"/>
          <w:sz w:val="21"/>
          <w:szCs w:val="21"/>
          <w:highlight w:val="yellow"/>
        </w:rPr>
      </w:pPr>
      <w:r w:rsidRPr="00CB7D21">
        <w:rPr>
          <w:rStyle w:val="normaltextrun"/>
          <w:sz w:val="21"/>
          <w:szCs w:val="21"/>
          <w:highlight w:val="yellow"/>
        </w:rPr>
        <w:t>The changes to the five service pillars described below guide the key activities that Lead Providers must supply from January 2022. During this period, it is anticipated that tasks associated with catchment planning, prevention and preparedness and community engagement will be refined, thus reducing supports provided by Lead Providers under these pillars. While outbreak support will initially require considerable resources, as case numbers slow, the expected activities under this pillar will decrease and the future focus will be in activities promoting active linkages to health and social supports.</w:t>
      </w:r>
      <w:r w:rsidRPr="00CB7D21">
        <w:rPr>
          <w:rStyle w:val="normaltextrun"/>
          <w:sz w:val="21"/>
          <w:szCs w:val="21"/>
        </w:rPr>
        <w:t xml:space="preserve"> </w:t>
      </w:r>
      <w:r w:rsidRPr="00CB7D21">
        <w:rPr>
          <w:rStyle w:val="normaltextrun"/>
          <w:sz w:val="21"/>
          <w:szCs w:val="21"/>
          <w:highlight w:val="yellow"/>
        </w:rPr>
        <w:t>The overall changes are:</w:t>
      </w:r>
    </w:p>
    <w:p w14:paraId="0556F308" w14:textId="77777777" w:rsidR="00CB7D21" w:rsidRPr="00287BA0" w:rsidRDefault="00CB7D21" w:rsidP="00287BA0">
      <w:pPr>
        <w:pStyle w:val="DHHSbody"/>
        <w:rPr>
          <w:highlight w:val="yellow"/>
        </w:rPr>
      </w:pPr>
      <w:r w:rsidRPr="00287BA0">
        <w:rPr>
          <w:rStyle w:val="Strong"/>
          <w:highlight w:val="yellow"/>
        </w:rPr>
        <w:t>Catchment partnerships</w:t>
      </w:r>
      <w:r w:rsidRPr="00287BA0">
        <w:rPr>
          <w:highlight w:val="yellow"/>
        </w:rPr>
        <w:t xml:space="preserve"> – </w:t>
      </w:r>
      <w:bookmarkStart w:id="38" w:name="_Hlk90976374"/>
      <w:r w:rsidRPr="00287BA0">
        <w:rPr>
          <w:highlight w:val="yellow"/>
        </w:rPr>
        <w:t>moving to maintenance of catchment leadership meetings and partnerships</w:t>
      </w:r>
    </w:p>
    <w:bookmarkEnd w:id="38"/>
    <w:p w14:paraId="73B629DC" w14:textId="58CDA060" w:rsidR="00CB7D21" w:rsidRPr="00287BA0" w:rsidRDefault="00CB7D21" w:rsidP="00287BA0">
      <w:pPr>
        <w:pStyle w:val="DHHSbody"/>
        <w:rPr>
          <w:highlight w:val="yellow"/>
        </w:rPr>
      </w:pPr>
      <w:r w:rsidRPr="00287BA0">
        <w:rPr>
          <w:rStyle w:val="Strong"/>
          <w:highlight w:val="yellow"/>
        </w:rPr>
        <w:t>Community engagement</w:t>
      </w:r>
      <w:r w:rsidRPr="00287BA0">
        <w:rPr>
          <w:highlight w:val="yellow"/>
        </w:rPr>
        <w:t xml:space="preserve"> </w:t>
      </w:r>
      <w:r w:rsidR="00287BA0">
        <w:rPr>
          <w:highlight w:val="yellow"/>
        </w:rPr>
        <w:t>–</w:t>
      </w:r>
      <w:r w:rsidRPr="00287BA0">
        <w:rPr>
          <w:highlight w:val="yellow"/>
        </w:rPr>
        <w:t xml:space="preserve"> </w:t>
      </w:r>
      <w:bookmarkStart w:id="39" w:name="_Hlk90976433"/>
      <w:r w:rsidRPr="00287BA0">
        <w:rPr>
          <w:highlight w:val="yellow"/>
        </w:rPr>
        <w:t>build on community engagement through assertive outreach models; continued support for the unvaccinated but expanding to boosters, flu vaccine, health checks, referrals to services, case support for vulnerable residents where required</w:t>
      </w:r>
    </w:p>
    <w:bookmarkEnd w:id="39"/>
    <w:p w14:paraId="2E70C05A" w14:textId="680BE434" w:rsidR="00CB7D21" w:rsidRPr="00287BA0" w:rsidRDefault="00CB7D21" w:rsidP="00287BA0">
      <w:pPr>
        <w:pStyle w:val="DHHSbody"/>
        <w:rPr>
          <w:highlight w:val="yellow"/>
        </w:rPr>
      </w:pPr>
      <w:r w:rsidRPr="00287BA0">
        <w:rPr>
          <w:rStyle w:val="Strong"/>
          <w:highlight w:val="yellow"/>
        </w:rPr>
        <w:t>Prevention and Preparedness</w:t>
      </w:r>
      <w:r w:rsidRPr="00287BA0">
        <w:rPr>
          <w:highlight w:val="yellow"/>
        </w:rPr>
        <w:t xml:space="preserve"> </w:t>
      </w:r>
      <w:r w:rsidR="00287BA0">
        <w:rPr>
          <w:highlight w:val="yellow"/>
        </w:rPr>
        <w:t>–</w:t>
      </w:r>
      <w:r w:rsidRPr="00287BA0">
        <w:rPr>
          <w:highlight w:val="yellow"/>
        </w:rPr>
        <w:t xml:space="preserve"> </w:t>
      </w:r>
      <w:bookmarkStart w:id="40" w:name="_Hlk91773153"/>
      <w:r w:rsidRPr="00287BA0">
        <w:rPr>
          <w:highlight w:val="yellow"/>
        </w:rPr>
        <w:t>targeted focus on priority communities where risk and impact is higher</w:t>
      </w:r>
      <w:bookmarkEnd w:id="40"/>
    </w:p>
    <w:p w14:paraId="36901809" w14:textId="1200341F" w:rsidR="00CB7D21" w:rsidRPr="00287BA0" w:rsidRDefault="00CB7D21" w:rsidP="00287BA0">
      <w:pPr>
        <w:pStyle w:val="DHHSbody"/>
        <w:rPr>
          <w:highlight w:val="yellow"/>
        </w:rPr>
      </w:pPr>
      <w:r w:rsidRPr="00287BA0">
        <w:rPr>
          <w:rStyle w:val="Strong"/>
          <w:highlight w:val="yellow"/>
        </w:rPr>
        <w:t>Active linkages</w:t>
      </w:r>
      <w:r w:rsidRPr="00287BA0">
        <w:rPr>
          <w:highlight w:val="yellow"/>
        </w:rPr>
        <w:t xml:space="preserve"> </w:t>
      </w:r>
      <w:r w:rsidR="00287BA0">
        <w:rPr>
          <w:highlight w:val="yellow"/>
        </w:rPr>
        <w:t>–</w:t>
      </w:r>
      <w:r w:rsidRPr="00287BA0">
        <w:rPr>
          <w:highlight w:val="yellow"/>
        </w:rPr>
        <w:t xml:space="preserve"> assertive outreach and engagement to most at-risk cohorts and other vulnerable people and communities, linking to broader health and social services to support social and economic recovery </w:t>
      </w:r>
    </w:p>
    <w:p w14:paraId="50F6D4DB" w14:textId="16EF6C81" w:rsidR="00CB7D21" w:rsidRPr="00287BA0" w:rsidRDefault="00CB7D21" w:rsidP="00287BA0">
      <w:pPr>
        <w:pStyle w:val="DHHSbody"/>
        <w:rPr>
          <w:highlight w:val="yellow"/>
        </w:rPr>
      </w:pPr>
      <w:r w:rsidRPr="00287BA0">
        <w:rPr>
          <w:rStyle w:val="Strong"/>
          <w:highlight w:val="yellow"/>
        </w:rPr>
        <w:t>Outbreak Support</w:t>
      </w:r>
      <w:r w:rsidRPr="00287BA0">
        <w:rPr>
          <w:highlight w:val="yellow"/>
        </w:rPr>
        <w:t xml:space="preserve"> </w:t>
      </w:r>
      <w:r w:rsidR="00287BA0">
        <w:rPr>
          <w:highlight w:val="yellow"/>
        </w:rPr>
        <w:t>–</w:t>
      </w:r>
      <w:r w:rsidRPr="00287BA0">
        <w:rPr>
          <w:highlight w:val="yellow"/>
        </w:rPr>
        <w:t xml:space="preserve"> maintain focus on outbreak response management for highest risk cohorts and settings</w:t>
      </w:r>
    </w:p>
    <w:p w14:paraId="2850A941" w14:textId="77777777" w:rsidR="00CB7D21" w:rsidRPr="00287BA0" w:rsidRDefault="00CB7D21" w:rsidP="00287BA0">
      <w:pPr>
        <w:pStyle w:val="DHHSbody"/>
      </w:pPr>
      <w:r w:rsidRPr="00287BA0">
        <w:rPr>
          <w:highlight w:val="yellow"/>
        </w:rPr>
        <w:t>* Revised effort may vary within local catchment area’s depending on local community needs, issues and outbreak support required and issues</w:t>
      </w:r>
      <w:r w:rsidRPr="00287BA0">
        <w:t xml:space="preserve"> </w:t>
      </w:r>
    </w:p>
    <w:p w14:paraId="3979F855" w14:textId="77777777" w:rsidR="00CB7D21" w:rsidRPr="00D26D6A" w:rsidRDefault="00CB7D21" w:rsidP="00CB7D21">
      <w:pPr>
        <w:pStyle w:val="Heading2"/>
      </w:pPr>
      <w:bookmarkStart w:id="41" w:name="_Toc93219782"/>
      <w:bookmarkStart w:id="42" w:name="_Toc93905395"/>
      <w:r w:rsidRPr="00590A8C">
        <w:t>Catchment partnerships (previously ‘catchment planning’)</w:t>
      </w:r>
      <w:bookmarkEnd w:id="41"/>
      <w:bookmarkEnd w:id="42"/>
    </w:p>
    <w:p w14:paraId="1738A6EE" w14:textId="77777777" w:rsidR="00CB7D21" w:rsidRPr="00E930E6" w:rsidRDefault="00CB7D21" w:rsidP="000112A3">
      <w:pPr>
        <w:pStyle w:val="Heading3"/>
      </w:pPr>
      <w:r w:rsidRPr="00287BA0">
        <w:t>Catchment partnership objectives</w:t>
      </w:r>
    </w:p>
    <w:p w14:paraId="7368A7F6" w14:textId="77777777" w:rsidR="00CB7D21" w:rsidRPr="00287BA0" w:rsidRDefault="00CB7D21" w:rsidP="00287BA0">
      <w:pPr>
        <w:pStyle w:val="DHHSbody"/>
      </w:pPr>
      <w:r w:rsidRPr="00287BA0">
        <w:t>To provide a local area approach for the delivery of these services, with delineated roles and responsibilities between agencies and government bodies involved in service delivery and governance of the program.</w:t>
      </w:r>
    </w:p>
    <w:p w14:paraId="11008EB8" w14:textId="77777777" w:rsidR="00CB7D21" w:rsidRPr="001D2E90" w:rsidRDefault="00CB7D21" w:rsidP="00CB7D21">
      <w:pPr>
        <w:pStyle w:val="Heading3"/>
      </w:pPr>
      <w:r w:rsidRPr="001D2E90">
        <w:t xml:space="preserve">Catchment </w:t>
      </w:r>
      <w:r>
        <w:t>partnership</w:t>
      </w:r>
      <w:r w:rsidRPr="001D2E90">
        <w:t xml:space="preserve"> goals</w:t>
      </w:r>
    </w:p>
    <w:p w14:paraId="5D6FD02E" w14:textId="77777777" w:rsidR="00CB7D21" w:rsidRPr="00287BA0" w:rsidRDefault="00CB7D21" w:rsidP="00287BA0">
      <w:pPr>
        <w:pStyle w:val="DHHSbody"/>
      </w:pPr>
      <w:r w:rsidRPr="00287BA0">
        <w:rPr>
          <w:highlight w:val="yellow"/>
        </w:rPr>
        <w:t>It is expected that Lead Providers will maintain existing relationships and leverage established methods of local engagement within catchment areas to continue to inform tailored catchment engagement and service delivery objectives.</w:t>
      </w:r>
      <w:r w:rsidRPr="00287BA0">
        <w:t xml:space="preserve"> </w:t>
      </w:r>
    </w:p>
    <w:p w14:paraId="25925C6A" w14:textId="77777777" w:rsidR="00CB7D21" w:rsidRPr="00CB7D21" w:rsidRDefault="00CB7D21" w:rsidP="004C1E48">
      <w:pPr>
        <w:pStyle w:val="Bullet1"/>
      </w:pPr>
      <w:r w:rsidRPr="00CB7D21">
        <w:t xml:space="preserve">Apply an evidence-based risk framework to identify the level of risk and stratify and tailor responses accordingly. </w:t>
      </w:r>
    </w:p>
    <w:p w14:paraId="7AF010F7" w14:textId="77777777" w:rsidR="00CB7D21" w:rsidRPr="00CB7D21" w:rsidRDefault="00CB7D21" w:rsidP="004C1E48">
      <w:pPr>
        <w:pStyle w:val="Bullet1"/>
      </w:pPr>
      <w:r w:rsidRPr="00CB7D21">
        <w:t>Identify and support measures at the catchment level that support and facilitate broader community and social recovery.</w:t>
      </w:r>
    </w:p>
    <w:p w14:paraId="66C7D85A" w14:textId="77777777" w:rsidR="00CB7D21" w:rsidRPr="00CB7D21" w:rsidRDefault="00CB7D21" w:rsidP="00287BA0">
      <w:pPr>
        <w:pStyle w:val="DHHSbodyafterbullets"/>
      </w:pPr>
      <w:r w:rsidRPr="00CB7D21">
        <w:t xml:space="preserve">These specifications are intended to provide guiding detail but also retain the flexibility to reflect geographical and material differences and the need to allow for local innovation and adaptation based on need. </w:t>
      </w:r>
    </w:p>
    <w:p w14:paraId="1BC3E205" w14:textId="1A8B53E2" w:rsidR="00CB7D21" w:rsidRPr="00287BA0" w:rsidRDefault="00CB7D21" w:rsidP="00287BA0">
      <w:pPr>
        <w:pStyle w:val="DHHSbody"/>
      </w:pPr>
      <w:r w:rsidRPr="00287BA0">
        <w:t xml:space="preserve">Lead Providers remain responsible for Catchment Leadership Groups. The catchment leadership group will continue to include local government, local disability liaison officers, LPHU and other identified local service providers. </w:t>
      </w:r>
    </w:p>
    <w:p w14:paraId="44C28DD1" w14:textId="2CDC4D39" w:rsidR="00CB7D21" w:rsidRPr="00287BA0" w:rsidRDefault="00CB7D21" w:rsidP="00287BA0">
      <w:pPr>
        <w:pStyle w:val="DHHSbody"/>
      </w:pPr>
      <w:r w:rsidRPr="00287BA0">
        <w:t xml:space="preserve">Catchment Leadership Groups should continue to share local intelligence to inform prioritisation of support for all activities. </w:t>
      </w:r>
    </w:p>
    <w:p w14:paraId="76C76702" w14:textId="77777777" w:rsidR="00CB7D21" w:rsidRPr="00287BA0" w:rsidRDefault="00CB7D21" w:rsidP="00287BA0">
      <w:pPr>
        <w:pStyle w:val="DHHSbody"/>
      </w:pPr>
      <w:r w:rsidRPr="00287BA0">
        <w:t xml:space="preserve">A key responsibility of the Catchment Leadership Groups includes the coordination and support of the five pillars of service delivery within the HRAR Extension. </w:t>
      </w:r>
    </w:p>
    <w:p w14:paraId="7D80517E" w14:textId="77777777" w:rsidR="00CB7D21" w:rsidRPr="00CB7D21" w:rsidRDefault="00CB7D21" w:rsidP="00CB7D21">
      <w:pPr>
        <w:pStyle w:val="DHHStablecaption"/>
        <w:rPr>
          <w:sz w:val="21"/>
          <w:szCs w:val="21"/>
        </w:rPr>
      </w:pPr>
      <w:r w:rsidRPr="00CB7D21">
        <w:rPr>
          <w:sz w:val="21"/>
          <w:szCs w:val="21"/>
        </w:rPr>
        <w:lastRenderedPageBreak/>
        <w:t>Key Outputs: Catchment Partnerships</w:t>
      </w:r>
    </w:p>
    <w:tbl>
      <w:tblPr>
        <w:tblW w:w="9101" w:type="dxa"/>
        <w:tblInd w:w="10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3150"/>
        <w:gridCol w:w="2407"/>
        <w:gridCol w:w="1701"/>
        <w:gridCol w:w="1843"/>
      </w:tblGrid>
      <w:tr w:rsidR="00CB7D21" w:rsidRPr="00CB7D21" w14:paraId="08125546" w14:textId="77777777" w:rsidTr="00717ED8">
        <w:tc>
          <w:tcPr>
            <w:tcW w:w="3150" w:type="dxa"/>
            <w:shd w:val="clear" w:color="auto" w:fill="auto"/>
            <w:hideMark/>
          </w:tcPr>
          <w:p w14:paraId="3EC34888" w14:textId="77777777" w:rsidR="00CB7D21" w:rsidRPr="00621CAE" w:rsidRDefault="00CB7D21" w:rsidP="005325AE">
            <w:pPr>
              <w:pStyle w:val="DHHStablecolhead"/>
            </w:pPr>
            <w:r w:rsidRPr="00621CAE">
              <w:t>Description </w:t>
            </w:r>
          </w:p>
        </w:tc>
        <w:tc>
          <w:tcPr>
            <w:tcW w:w="2407" w:type="dxa"/>
            <w:shd w:val="clear" w:color="auto" w:fill="auto"/>
            <w:hideMark/>
          </w:tcPr>
          <w:p w14:paraId="64C269B0" w14:textId="77777777" w:rsidR="00CB7D21" w:rsidRPr="00621CAE" w:rsidRDefault="00CB7D21" w:rsidP="005325AE">
            <w:pPr>
              <w:pStyle w:val="DHHStablecolhead"/>
            </w:pPr>
            <w:r w:rsidRPr="00621CAE">
              <w:t>Trigger and timing </w:t>
            </w:r>
          </w:p>
        </w:tc>
        <w:tc>
          <w:tcPr>
            <w:tcW w:w="1701" w:type="dxa"/>
            <w:shd w:val="clear" w:color="auto" w:fill="auto"/>
            <w:hideMark/>
          </w:tcPr>
          <w:p w14:paraId="115D6E71" w14:textId="77777777" w:rsidR="00CB7D21" w:rsidRPr="00621CAE" w:rsidRDefault="00CB7D21" w:rsidP="005325AE">
            <w:pPr>
              <w:pStyle w:val="DHHStablecolhead"/>
            </w:pPr>
            <w:r w:rsidRPr="00621CAE">
              <w:t>Led by </w:t>
            </w:r>
          </w:p>
        </w:tc>
        <w:tc>
          <w:tcPr>
            <w:tcW w:w="1843" w:type="dxa"/>
            <w:shd w:val="clear" w:color="auto" w:fill="auto"/>
            <w:hideMark/>
          </w:tcPr>
          <w:p w14:paraId="48628EEF" w14:textId="13E9B8A9" w:rsidR="00CB7D21" w:rsidRPr="00621CAE" w:rsidRDefault="00CB7D21" w:rsidP="005325AE">
            <w:pPr>
              <w:pStyle w:val="DHHStablecolhead"/>
            </w:pPr>
            <w:r w:rsidRPr="00621CAE">
              <w:t>Role of</w:t>
            </w:r>
            <w:r w:rsidR="00621CAE">
              <w:t xml:space="preserve"> </w:t>
            </w:r>
            <w:r w:rsidRPr="00621CAE">
              <w:t>Lead</w:t>
            </w:r>
            <w:r w:rsidR="00621CAE">
              <w:t xml:space="preserve"> </w:t>
            </w:r>
            <w:r w:rsidRPr="00621CAE">
              <w:t>Provider </w:t>
            </w:r>
          </w:p>
        </w:tc>
      </w:tr>
      <w:tr w:rsidR="00CB7D21" w:rsidRPr="00CB7D21" w14:paraId="0699CB42" w14:textId="77777777" w:rsidTr="00717ED8">
        <w:tc>
          <w:tcPr>
            <w:tcW w:w="3150" w:type="dxa"/>
            <w:shd w:val="clear" w:color="auto" w:fill="auto"/>
            <w:vAlign w:val="center"/>
            <w:hideMark/>
          </w:tcPr>
          <w:p w14:paraId="425E07DD" w14:textId="23A84CF5" w:rsidR="00CB7D21" w:rsidRPr="00287BA0" w:rsidRDefault="00CB7D21" w:rsidP="00287BA0">
            <w:pPr>
              <w:pStyle w:val="DHHStabletext"/>
              <w:rPr>
                <w:highlight w:val="yellow"/>
              </w:rPr>
            </w:pPr>
            <w:r w:rsidRPr="00287BA0">
              <w:rPr>
                <w:highlight w:val="yellow"/>
              </w:rPr>
              <w:t>Ongoing Catchment Partnerships</w:t>
            </w:r>
          </w:p>
          <w:p w14:paraId="102576AF" w14:textId="23B816FF" w:rsidR="00CB7D21" w:rsidRPr="00287BA0" w:rsidRDefault="00CB7D21" w:rsidP="002C2F47">
            <w:pPr>
              <w:pStyle w:val="DHHStablebullet"/>
              <w:rPr>
                <w:highlight w:val="yellow"/>
              </w:rPr>
            </w:pPr>
            <w:r w:rsidRPr="00287BA0">
              <w:rPr>
                <w:highlight w:val="yellow"/>
              </w:rPr>
              <w:t>Catchment leadership group meetings to continue monthly or, at the discretion of each catchment, to drive catchment responses that supports and facilitates broader community and social recovery</w:t>
            </w:r>
          </w:p>
          <w:p w14:paraId="212489A9" w14:textId="7F69C2A7" w:rsidR="00CB7D21" w:rsidRPr="00287BA0" w:rsidRDefault="00CB7D21" w:rsidP="00287BA0">
            <w:pPr>
              <w:pStyle w:val="DHHStabletext"/>
            </w:pPr>
            <w:r w:rsidRPr="00287BA0">
              <w:rPr>
                <w:highlight w:val="yellow"/>
              </w:rPr>
              <w:t>** Although catchment plans are not required to be submitted to DFFH, each Lead Provider is expected to utilise the information previously developed such as demographics and Governance.</w:t>
            </w:r>
            <w:r w:rsidRPr="00287BA0">
              <w:t xml:space="preserve">  </w:t>
            </w:r>
          </w:p>
        </w:tc>
        <w:tc>
          <w:tcPr>
            <w:tcW w:w="2407" w:type="dxa"/>
            <w:shd w:val="clear" w:color="auto" w:fill="auto"/>
            <w:hideMark/>
          </w:tcPr>
          <w:p w14:paraId="563AB334" w14:textId="7EAFAF45" w:rsidR="00CB7D21" w:rsidRPr="00287BA0" w:rsidRDefault="00CB7D21" w:rsidP="00287BA0">
            <w:pPr>
              <w:pStyle w:val="DHHStabletext"/>
            </w:pPr>
            <w:r w:rsidRPr="00287BA0">
              <w:rPr>
                <w:highlight w:val="yellow"/>
              </w:rPr>
              <w:t>Ongoing and dynamic process of partnership, informed by local engagement, site visits and local data and intelligence</w:t>
            </w:r>
          </w:p>
        </w:tc>
        <w:tc>
          <w:tcPr>
            <w:tcW w:w="1701" w:type="dxa"/>
            <w:shd w:val="clear" w:color="auto" w:fill="auto"/>
            <w:hideMark/>
          </w:tcPr>
          <w:p w14:paraId="24F9B9BE" w14:textId="77777777" w:rsidR="00CB7D21" w:rsidRPr="00287BA0" w:rsidRDefault="00CB7D21" w:rsidP="00287BA0">
            <w:pPr>
              <w:pStyle w:val="DHHStabletext"/>
            </w:pPr>
            <w:r w:rsidRPr="00287BA0">
              <w:t xml:space="preserve">Lead Provider </w:t>
            </w:r>
          </w:p>
        </w:tc>
        <w:tc>
          <w:tcPr>
            <w:tcW w:w="1843" w:type="dxa"/>
            <w:shd w:val="clear" w:color="auto" w:fill="auto"/>
            <w:hideMark/>
          </w:tcPr>
          <w:p w14:paraId="1B577E6D" w14:textId="0A9D1ACA" w:rsidR="00CB7D21" w:rsidRPr="00287BA0" w:rsidRDefault="00CB7D21" w:rsidP="00287BA0">
            <w:pPr>
              <w:pStyle w:val="DHHStabletext"/>
            </w:pPr>
            <w:r w:rsidRPr="00287BA0">
              <w:rPr>
                <w:highlight w:val="yellow"/>
              </w:rPr>
              <w:t>Lead local catchment partnerships</w:t>
            </w:r>
          </w:p>
        </w:tc>
      </w:tr>
    </w:tbl>
    <w:p w14:paraId="789F115D" w14:textId="77777777" w:rsidR="00CB7D21" w:rsidRPr="000112A3" w:rsidRDefault="00CB7D21" w:rsidP="000112A3">
      <w:pPr>
        <w:pStyle w:val="Heading2"/>
        <w:spacing w:after="60"/>
      </w:pPr>
      <w:bookmarkStart w:id="43" w:name="_Toc93219783"/>
      <w:bookmarkStart w:id="44" w:name="_Toc93905396"/>
      <w:r w:rsidRPr="000112A3">
        <w:t>Community engagement</w:t>
      </w:r>
      <w:bookmarkEnd w:id="43"/>
      <w:bookmarkEnd w:id="44"/>
    </w:p>
    <w:p w14:paraId="096A24A2" w14:textId="77777777" w:rsidR="00CB7D21" w:rsidRPr="00621CAE" w:rsidRDefault="00CB7D21" w:rsidP="000112A3">
      <w:pPr>
        <w:pStyle w:val="Heading3"/>
        <w:spacing w:before="240"/>
      </w:pPr>
      <w:r w:rsidRPr="00621CAE">
        <w:rPr>
          <w:rStyle w:val="Heading4Char"/>
          <w:rFonts w:eastAsia="MS Gothic"/>
          <w:b w:val="0"/>
          <w:bCs/>
          <w:sz w:val="30"/>
          <w:szCs w:val="26"/>
        </w:rPr>
        <w:t>Community engagement objectives</w:t>
      </w:r>
    </w:p>
    <w:p w14:paraId="480C1A77" w14:textId="77777777" w:rsidR="00CB7D21" w:rsidRPr="00621CAE" w:rsidRDefault="00CB7D21" w:rsidP="00621CAE">
      <w:pPr>
        <w:pStyle w:val="DHHSbody"/>
      </w:pPr>
      <w:r w:rsidRPr="00621CAE">
        <w:t xml:space="preserve">To continue engaging with people residing in high-risk accommodation settings and their local communities, through a range of community engagement strategies, </w:t>
      </w:r>
      <w:r w:rsidRPr="00621CAE">
        <w:rPr>
          <w:highlight w:val="yellow"/>
        </w:rPr>
        <w:t>with a greater focus on promoting a broader social recovery at the local level.</w:t>
      </w:r>
    </w:p>
    <w:p w14:paraId="1360293D" w14:textId="77777777" w:rsidR="00CB7D21" w:rsidRPr="00621CAE" w:rsidRDefault="00CB7D21" w:rsidP="000112A3">
      <w:pPr>
        <w:pStyle w:val="Heading3"/>
        <w:spacing w:before="240"/>
      </w:pPr>
      <w:r w:rsidRPr="00621CAE">
        <w:t>Community engagement goals</w:t>
      </w:r>
    </w:p>
    <w:p w14:paraId="6B1AD31D" w14:textId="77777777" w:rsidR="00CB7D21" w:rsidRPr="00621CAE" w:rsidRDefault="00CB7D21" w:rsidP="00621CAE">
      <w:pPr>
        <w:pStyle w:val="DHHSbody"/>
      </w:pPr>
      <w:r w:rsidRPr="00621CAE">
        <w:t xml:space="preserve">Continue work with community leaders, community health, local councils, community services and other agencies </w:t>
      </w:r>
      <w:r w:rsidRPr="00621CAE">
        <w:rPr>
          <w:highlight w:val="yellow"/>
        </w:rPr>
        <w:t>through assertive outreach models</w:t>
      </w:r>
      <w:r w:rsidRPr="00621CAE">
        <w:t xml:space="preserve"> to: </w:t>
      </w:r>
    </w:p>
    <w:p w14:paraId="7F21E416" w14:textId="77777777" w:rsidR="00CB7D21" w:rsidRPr="00CB7D21" w:rsidRDefault="00CB7D21" w:rsidP="004C1E48">
      <w:pPr>
        <w:pStyle w:val="Bullet1"/>
      </w:pPr>
      <w:r w:rsidRPr="00CB7D21">
        <w:t>provide information about COVID-19 risks and prevention strategies and supports</w:t>
      </w:r>
    </w:p>
    <w:p w14:paraId="52381734" w14:textId="77777777" w:rsidR="00CB7D21" w:rsidRPr="00CB7D21" w:rsidRDefault="00CB7D21" w:rsidP="004C1E48">
      <w:pPr>
        <w:pStyle w:val="Bullet1"/>
      </w:pPr>
      <w:r w:rsidRPr="00CB7D21">
        <w:t xml:space="preserve">provide information on what to do if you are a case or close contact including preparing to isolate at home </w:t>
      </w:r>
    </w:p>
    <w:p w14:paraId="4CDEFF6E" w14:textId="77777777" w:rsidR="00CB7D21" w:rsidRPr="00CB7D21" w:rsidRDefault="00CB7D21" w:rsidP="004C1E48">
      <w:pPr>
        <w:pStyle w:val="Bullet1"/>
      </w:pPr>
      <w:r w:rsidRPr="00CB7D21">
        <w:t xml:space="preserve">provide supports which are culturally safe, appropriate for disability clients and families as well as CALD, to meet the presenting health, social, material aid, and other needs of people within high-risk settings and support broader social recovery efforts </w:t>
      </w:r>
    </w:p>
    <w:p w14:paraId="21F9FB20" w14:textId="77777777" w:rsidR="00CB7D21" w:rsidRPr="00CB7D21" w:rsidRDefault="00CB7D21" w:rsidP="004C1E48">
      <w:pPr>
        <w:pStyle w:val="Bullet1"/>
      </w:pPr>
      <w:r w:rsidRPr="00CB7D21">
        <w:t xml:space="preserve">continue the support take up of the COVID-19 vaccination program </w:t>
      </w:r>
      <w:r w:rsidRPr="00CB7D21">
        <w:rPr>
          <w:highlight w:val="yellow"/>
        </w:rPr>
        <w:t>including booster shots</w:t>
      </w:r>
    </w:p>
    <w:p w14:paraId="0E23BE24" w14:textId="77777777" w:rsidR="00CB7D21" w:rsidRPr="00CB7D21" w:rsidRDefault="00CB7D21" w:rsidP="004C1E48">
      <w:pPr>
        <w:pStyle w:val="Bullet1"/>
        <w:rPr>
          <w:highlight w:val="yellow"/>
        </w:rPr>
      </w:pPr>
      <w:r w:rsidRPr="00CB7D21">
        <w:rPr>
          <w:highlight w:val="yellow"/>
        </w:rPr>
        <w:t>provide education on rapid antigen testing and the flu vaccine</w:t>
      </w:r>
    </w:p>
    <w:p w14:paraId="0C421172" w14:textId="77777777" w:rsidR="00CB7D21" w:rsidRDefault="00CB7D21" w:rsidP="004C1E48">
      <w:pPr>
        <w:pStyle w:val="Bullet1"/>
      </w:pPr>
      <w:r w:rsidRPr="00CB7D21">
        <w:t>encourage connection between local communities and the broader service system (health and social supports) to help address the needs of people at greatest risk and/or with unmet service needs.</w:t>
      </w:r>
    </w:p>
    <w:p w14:paraId="5DA3F5E3" w14:textId="77777777" w:rsidR="00CB7D21" w:rsidRPr="00621CAE" w:rsidRDefault="00CB7D21" w:rsidP="000112A3">
      <w:pPr>
        <w:pStyle w:val="Heading3"/>
        <w:spacing w:before="240"/>
      </w:pPr>
      <w:r w:rsidRPr="00621CAE">
        <w:t>Community engagement activities</w:t>
      </w:r>
    </w:p>
    <w:p w14:paraId="761CFD7F" w14:textId="77777777" w:rsidR="00CB7D21" w:rsidRPr="00621CAE" w:rsidRDefault="00CB7D21" w:rsidP="00621CAE">
      <w:pPr>
        <w:pStyle w:val="DHHSbody"/>
        <w:rPr>
          <w:rStyle w:val="normaltextrun"/>
        </w:rPr>
      </w:pPr>
      <w:r w:rsidRPr="00621CAE">
        <w:rPr>
          <w:rStyle w:val="normaltextrun"/>
        </w:rPr>
        <w:t xml:space="preserve">Community engagement activities are to be carried out throughout all stages of the HRAR Extension. Continued early and dedicated efforts to engage residents and community leaders will continue to support prevention and outbreak management activities </w:t>
      </w:r>
      <w:r w:rsidRPr="00621CAE">
        <w:rPr>
          <w:rStyle w:val="normaltextrun"/>
          <w:highlight w:val="yellow"/>
        </w:rPr>
        <w:t>as well as identify at risk, hard to reach cohorts who require active linkages to health and social supports.</w:t>
      </w:r>
      <w:r w:rsidRPr="00621CAE">
        <w:rPr>
          <w:rStyle w:val="normaltextrun"/>
        </w:rPr>
        <w:t xml:space="preserve"> </w:t>
      </w:r>
    </w:p>
    <w:p w14:paraId="5135F0E4" w14:textId="77777777" w:rsidR="00CB7D21" w:rsidRPr="00621CAE" w:rsidRDefault="00CB7D21" w:rsidP="00621CAE">
      <w:pPr>
        <w:pStyle w:val="DHHSbody"/>
        <w:rPr>
          <w:rStyle w:val="eop"/>
        </w:rPr>
      </w:pPr>
      <w:r w:rsidRPr="00621CAE">
        <w:rPr>
          <w:rStyle w:val="eop"/>
        </w:rPr>
        <w:t xml:space="preserve">Engagement activities will be aligned with and support outputs through DFFH, DH and other Victorian Government agencies, as required. </w:t>
      </w:r>
    </w:p>
    <w:p w14:paraId="19A1A9B6" w14:textId="77777777" w:rsidR="00CB7D21" w:rsidRPr="00CB7D21" w:rsidRDefault="00CB7D21" w:rsidP="00621CAE">
      <w:pPr>
        <w:pStyle w:val="DHHSbody"/>
      </w:pPr>
      <w:r w:rsidRPr="00621CAE">
        <w:rPr>
          <w:rStyle w:val="normaltextrun"/>
        </w:rPr>
        <w:t>Critical to community engagement is the Lead Provider’s knowledge and understanding of:</w:t>
      </w:r>
      <w:r w:rsidRPr="00621CAE">
        <w:rPr>
          <w:rStyle w:val="eop"/>
        </w:rPr>
        <w:t> </w:t>
      </w:r>
    </w:p>
    <w:p w14:paraId="69F872F9" w14:textId="77777777" w:rsidR="00CB7D21" w:rsidRPr="00CB7D21" w:rsidRDefault="00CB7D21" w:rsidP="004C1E48">
      <w:pPr>
        <w:pStyle w:val="Bullet1"/>
      </w:pPr>
      <w:r w:rsidRPr="00CB7D21">
        <w:rPr>
          <w:rStyle w:val="normaltextrun"/>
          <w:rFonts w:eastAsia="MS Gothic" w:cs="Arial"/>
          <w:sz w:val="21"/>
          <w:szCs w:val="21"/>
        </w:rPr>
        <w:t>residents, community leaders and other key community members</w:t>
      </w:r>
      <w:r w:rsidRPr="00CB7D21">
        <w:rPr>
          <w:rStyle w:val="eop"/>
          <w:rFonts w:eastAsia="MS Mincho" w:cs="Arial"/>
          <w:sz w:val="21"/>
          <w:szCs w:val="21"/>
        </w:rPr>
        <w:t> </w:t>
      </w:r>
    </w:p>
    <w:p w14:paraId="7B5F9BB6" w14:textId="77777777" w:rsidR="00CB7D21" w:rsidRPr="00CB7D21" w:rsidRDefault="00CB7D21" w:rsidP="004C1E48">
      <w:pPr>
        <w:pStyle w:val="Bullet1"/>
      </w:pPr>
      <w:r w:rsidRPr="00CB7D21">
        <w:rPr>
          <w:rStyle w:val="normaltextrun"/>
          <w:rFonts w:eastAsia="MS Gothic" w:cs="Arial"/>
          <w:sz w:val="21"/>
          <w:szCs w:val="21"/>
        </w:rPr>
        <w:t>barriers to engagement</w:t>
      </w:r>
      <w:r w:rsidRPr="00CB7D21">
        <w:rPr>
          <w:rStyle w:val="eop"/>
          <w:rFonts w:eastAsia="MS Mincho" w:cs="Arial"/>
          <w:sz w:val="21"/>
          <w:szCs w:val="21"/>
        </w:rPr>
        <w:t> </w:t>
      </w:r>
    </w:p>
    <w:p w14:paraId="1DE58C7B" w14:textId="77777777" w:rsidR="00CB7D21" w:rsidRPr="00CB7D21" w:rsidRDefault="00CB7D21" w:rsidP="004C1E48">
      <w:pPr>
        <w:pStyle w:val="Bullet1"/>
      </w:pPr>
      <w:r w:rsidRPr="00CB7D21">
        <w:rPr>
          <w:rStyle w:val="normaltextrun"/>
          <w:rFonts w:eastAsia="MS Gothic" w:cs="Arial"/>
          <w:sz w:val="21"/>
          <w:szCs w:val="21"/>
        </w:rPr>
        <w:t>health and safety risks for residents</w:t>
      </w:r>
      <w:r w:rsidRPr="00CB7D21">
        <w:rPr>
          <w:rStyle w:val="eop"/>
          <w:rFonts w:eastAsia="MS Mincho" w:cs="Arial"/>
          <w:sz w:val="21"/>
          <w:szCs w:val="21"/>
        </w:rPr>
        <w:t> and staff</w:t>
      </w:r>
    </w:p>
    <w:p w14:paraId="0A4B0BCD" w14:textId="77777777" w:rsidR="00CB7D21" w:rsidRPr="00CB7D21" w:rsidRDefault="00CB7D21" w:rsidP="004C1E48">
      <w:pPr>
        <w:pStyle w:val="Bullet1"/>
        <w:rPr>
          <w:rStyle w:val="normaltextrun"/>
          <w:rFonts w:cs="Arial"/>
          <w:sz w:val="21"/>
          <w:szCs w:val="21"/>
        </w:rPr>
      </w:pPr>
      <w:r w:rsidRPr="00CB7D21">
        <w:rPr>
          <w:rStyle w:val="normaltextrun"/>
          <w:rFonts w:eastAsia="MS Gothic" w:cs="Arial"/>
          <w:sz w:val="21"/>
          <w:szCs w:val="21"/>
        </w:rPr>
        <w:t>preferred approaches to engagement.</w:t>
      </w:r>
    </w:p>
    <w:p w14:paraId="6F9611D8" w14:textId="77777777" w:rsidR="00882E6D" w:rsidRDefault="00882E6D" w:rsidP="00621CAE">
      <w:pPr>
        <w:pStyle w:val="DHHSbodyafterbullets"/>
        <w:sectPr w:rsidR="00882E6D" w:rsidSect="00882E6D">
          <w:headerReference w:type="default" r:id="rId18"/>
          <w:pgSz w:w="11906" w:h="16838" w:code="9"/>
          <w:pgMar w:top="567" w:right="720" w:bottom="720" w:left="720" w:header="408" w:footer="851" w:gutter="0"/>
          <w:cols w:space="340"/>
          <w:docGrid w:linePitch="360"/>
        </w:sectPr>
      </w:pPr>
    </w:p>
    <w:p w14:paraId="7C106507" w14:textId="358FFAD2" w:rsidR="00CB7D21" w:rsidRPr="00CB7D21" w:rsidRDefault="005B1AFB" w:rsidP="00621CAE">
      <w:pPr>
        <w:pStyle w:val="DHHSbodyafterbullets"/>
      </w:pPr>
      <w:r>
        <w:lastRenderedPageBreak/>
        <w:t>The tables</w:t>
      </w:r>
      <w:r w:rsidR="00CB7D21" w:rsidRPr="00CB7D21">
        <w:t xml:space="preserve"> below are excerpts taken from the department’s Community Engagement Toolkit. The full kit contains examples of action logs, terms of reference, newsletters and some detailed guides around the best way to engage with communities, especially in times of crisis. The full kit is available from the Department and can be obtained on request from your HRAR Divisional Director or staff.</w:t>
      </w:r>
    </w:p>
    <w:p w14:paraId="1C00A82B" w14:textId="430C6694" w:rsidR="00CB7D21" w:rsidRDefault="00CB7D21" w:rsidP="00621CAE">
      <w:pPr>
        <w:pStyle w:val="DHHSfigurecaption"/>
        <w:rPr>
          <w:rFonts w:eastAsia="Arial"/>
        </w:rPr>
      </w:pPr>
      <w:r w:rsidRPr="00CB7D21">
        <w:rPr>
          <w:rFonts w:eastAsia="Arial"/>
        </w:rPr>
        <w:t>Key principles of community engagement</w:t>
      </w:r>
    </w:p>
    <w:p w14:paraId="4DC81C6C" w14:textId="5F3DFB62" w:rsidR="00722F2B" w:rsidRDefault="00722F2B" w:rsidP="00722F2B">
      <w:pPr>
        <w:pStyle w:val="DHHSbody"/>
      </w:pPr>
      <w:r>
        <w:t>The six principles are based on lessons learned from the public sector response to the outbreak of COVID-19 in public housing and build on the principles of the Public Participation Framework (Department of Human Services; 2019).</w:t>
      </w:r>
    </w:p>
    <w:tbl>
      <w:tblPr>
        <w:tblStyle w:val="TableGrid"/>
        <w:tblW w:w="154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Key principles of community engagement - from the Community Engagement Tooklit"/>
        <w:tblDescription w:val="Multi-faceted; Genuine Partnerships; Residents are ecperts; Place-based; Trauma-informed; Respectful and inclusive"/>
      </w:tblPr>
      <w:tblGrid>
        <w:gridCol w:w="2263"/>
        <w:gridCol w:w="2622"/>
        <w:gridCol w:w="2765"/>
        <w:gridCol w:w="2268"/>
        <w:gridCol w:w="2835"/>
        <w:gridCol w:w="2693"/>
      </w:tblGrid>
      <w:tr w:rsidR="00882E6D" w14:paraId="27A6D42B" w14:textId="10DCD4F3" w:rsidTr="00882E6D">
        <w:trPr>
          <w:tblHeader/>
        </w:trPr>
        <w:tc>
          <w:tcPr>
            <w:tcW w:w="2263" w:type="dxa"/>
          </w:tcPr>
          <w:p w14:paraId="41D726C5" w14:textId="284B71B8" w:rsidR="002C2F47" w:rsidRPr="00FD0C9C" w:rsidRDefault="002C2F47" w:rsidP="002C2F47">
            <w:pPr>
              <w:pStyle w:val="DHHStablecolhead"/>
              <w:rPr>
                <w:sz w:val="18"/>
                <w:szCs w:val="18"/>
              </w:rPr>
            </w:pPr>
            <w:r w:rsidRPr="00FD0C9C">
              <w:rPr>
                <w:sz w:val="18"/>
                <w:szCs w:val="18"/>
              </w:rPr>
              <w:t>Multi-faceted</w:t>
            </w:r>
          </w:p>
        </w:tc>
        <w:tc>
          <w:tcPr>
            <w:tcW w:w="2622" w:type="dxa"/>
          </w:tcPr>
          <w:p w14:paraId="75F73485" w14:textId="20D0881F" w:rsidR="002C2F47" w:rsidRPr="00FD0C9C" w:rsidRDefault="002C2F47" w:rsidP="002C2F47">
            <w:pPr>
              <w:pStyle w:val="DHHStablecolhead"/>
              <w:rPr>
                <w:sz w:val="18"/>
                <w:szCs w:val="18"/>
              </w:rPr>
            </w:pPr>
            <w:r w:rsidRPr="00FD0C9C">
              <w:rPr>
                <w:sz w:val="18"/>
                <w:szCs w:val="18"/>
              </w:rPr>
              <w:t>Genuine Partnerships</w:t>
            </w:r>
          </w:p>
        </w:tc>
        <w:tc>
          <w:tcPr>
            <w:tcW w:w="2765" w:type="dxa"/>
          </w:tcPr>
          <w:p w14:paraId="2184067B" w14:textId="7EB083C3" w:rsidR="002C2F47" w:rsidRPr="00FD0C9C" w:rsidRDefault="002C2F47" w:rsidP="002C2F47">
            <w:pPr>
              <w:pStyle w:val="DHHStablecolhead"/>
              <w:rPr>
                <w:sz w:val="18"/>
                <w:szCs w:val="18"/>
              </w:rPr>
            </w:pPr>
            <w:r w:rsidRPr="00FD0C9C">
              <w:rPr>
                <w:sz w:val="18"/>
                <w:szCs w:val="18"/>
              </w:rPr>
              <w:t>Residents are experts</w:t>
            </w:r>
          </w:p>
        </w:tc>
        <w:tc>
          <w:tcPr>
            <w:tcW w:w="2268" w:type="dxa"/>
          </w:tcPr>
          <w:p w14:paraId="712B84E5" w14:textId="4B4D4B49" w:rsidR="002C2F47" w:rsidRPr="00FD0C9C" w:rsidRDefault="002C2F47" w:rsidP="002C2F47">
            <w:pPr>
              <w:pStyle w:val="DHHStablecolhead"/>
              <w:rPr>
                <w:sz w:val="18"/>
                <w:szCs w:val="18"/>
              </w:rPr>
            </w:pPr>
            <w:r w:rsidRPr="00FD0C9C">
              <w:rPr>
                <w:sz w:val="18"/>
                <w:szCs w:val="18"/>
              </w:rPr>
              <w:t>Place-based</w:t>
            </w:r>
          </w:p>
        </w:tc>
        <w:tc>
          <w:tcPr>
            <w:tcW w:w="2835" w:type="dxa"/>
          </w:tcPr>
          <w:p w14:paraId="7A699147" w14:textId="49D402BD" w:rsidR="002C2F47" w:rsidRPr="00FD0C9C" w:rsidRDefault="002C2F47" w:rsidP="002C2F47">
            <w:pPr>
              <w:pStyle w:val="DHHStablecolhead"/>
              <w:rPr>
                <w:sz w:val="18"/>
                <w:szCs w:val="18"/>
              </w:rPr>
            </w:pPr>
            <w:r w:rsidRPr="00FD0C9C">
              <w:rPr>
                <w:sz w:val="18"/>
                <w:szCs w:val="18"/>
              </w:rPr>
              <w:t>Trauma-informed</w:t>
            </w:r>
          </w:p>
        </w:tc>
        <w:tc>
          <w:tcPr>
            <w:tcW w:w="2693" w:type="dxa"/>
          </w:tcPr>
          <w:p w14:paraId="02E22667" w14:textId="38367859" w:rsidR="002C2F47" w:rsidRPr="00FD0C9C" w:rsidRDefault="002C2F47" w:rsidP="002C2F47">
            <w:pPr>
              <w:pStyle w:val="DHHStablecolhead"/>
              <w:rPr>
                <w:sz w:val="18"/>
                <w:szCs w:val="18"/>
              </w:rPr>
            </w:pPr>
            <w:r w:rsidRPr="00FD0C9C">
              <w:rPr>
                <w:sz w:val="18"/>
                <w:szCs w:val="18"/>
              </w:rPr>
              <w:t>Respectful and inclusive</w:t>
            </w:r>
          </w:p>
        </w:tc>
      </w:tr>
      <w:tr w:rsidR="00882E6D" w14:paraId="675B8E8C" w14:textId="38E7F2C5" w:rsidTr="00882E6D">
        <w:tc>
          <w:tcPr>
            <w:tcW w:w="2263" w:type="dxa"/>
          </w:tcPr>
          <w:p w14:paraId="46264738" w14:textId="48E96DFA" w:rsidR="002C2F47" w:rsidRPr="00FD0C9C" w:rsidRDefault="00FD0C9C" w:rsidP="002C2F47">
            <w:pPr>
              <w:pStyle w:val="DHHStablebullet"/>
              <w:rPr>
                <w:sz w:val="18"/>
                <w:szCs w:val="18"/>
              </w:rPr>
            </w:pPr>
            <w:r w:rsidRPr="00FD0C9C">
              <w:rPr>
                <w:sz w:val="18"/>
                <w:szCs w:val="18"/>
              </w:rPr>
              <w:t>Using different ways to engage with community maximises the chances of key messaging on health, safety and supports reaching all residents, including those with diverse needs. For example: Zoom meetings, WhatsApp groups, email bulletins, laminated posters in community buildings, Facebook page, YouTube.</w:t>
            </w:r>
          </w:p>
        </w:tc>
        <w:tc>
          <w:tcPr>
            <w:tcW w:w="2622" w:type="dxa"/>
          </w:tcPr>
          <w:p w14:paraId="43E022F3" w14:textId="5D4BDBB6" w:rsidR="002C2F47" w:rsidRPr="00FD0C9C" w:rsidRDefault="00FD0C9C" w:rsidP="002C2F47">
            <w:pPr>
              <w:pStyle w:val="DHHStablebullet"/>
              <w:rPr>
                <w:sz w:val="18"/>
                <w:szCs w:val="18"/>
              </w:rPr>
            </w:pPr>
            <w:r w:rsidRPr="00FD0C9C">
              <w:rPr>
                <w:sz w:val="18"/>
                <w:szCs w:val="18"/>
              </w:rPr>
              <w:t>A genuine partnership that empowers residents and community members, and build</w:t>
            </w:r>
            <w:r w:rsidR="004C13C9">
              <w:rPr>
                <w:sz w:val="18"/>
                <w:szCs w:val="18"/>
              </w:rPr>
              <w:t>s</w:t>
            </w:r>
            <w:r w:rsidRPr="00FD0C9C">
              <w:rPr>
                <w:sz w:val="18"/>
                <w:szCs w:val="18"/>
              </w:rPr>
              <w:t xml:space="preserve"> mutual trus</w:t>
            </w:r>
            <w:r w:rsidR="004C13C9">
              <w:rPr>
                <w:sz w:val="18"/>
                <w:szCs w:val="18"/>
              </w:rPr>
              <w:t>t</w:t>
            </w:r>
            <w:r w:rsidRPr="00FD0C9C">
              <w:rPr>
                <w:sz w:val="18"/>
                <w:szCs w:val="18"/>
              </w:rPr>
              <w:t xml:space="preserve"> is the most effective way to prevent the spread of infection.</w:t>
            </w:r>
          </w:p>
          <w:p w14:paraId="391EECCD" w14:textId="77777777" w:rsidR="00FD0C9C" w:rsidRPr="00FD0C9C" w:rsidRDefault="00FD0C9C" w:rsidP="002C2F47">
            <w:pPr>
              <w:pStyle w:val="DHHStablebullet"/>
              <w:rPr>
                <w:sz w:val="18"/>
                <w:szCs w:val="18"/>
              </w:rPr>
            </w:pPr>
            <w:r w:rsidRPr="00FD0C9C">
              <w:rPr>
                <w:sz w:val="18"/>
                <w:szCs w:val="18"/>
              </w:rPr>
              <w:t>Residents and community have a right to be involved in decisions that affect their lives- working together to design solutions is a better way to get things done and to meet everyone’s needs.</w:t>
            </w:r>
          </w:p>
          <w:p w14:paraId="458701C4" w14:textId="1ECB31C3" w:rsidR="00FD0C9C" w:rsidRPr="00FD0C9C" w:rsidRDefault="00FD0C9C" w:rsidP="002C2F47">
            <w:pPr>
              <w:pStyle w:val="DHHStablebullet"/>
              <w:rPr>
                <w:sz w:val="18"/>
                <w:szCs w:val="18"/>
              </w:rPr>
            </w:pPr>
            <w:r w:rsidRPr="00FD0C9C">
              <w:rPr>
                <w:sz w:val="18"/>
                <w:szCs w:val="18"/>
              </w:rPr>
              <w:t>Listening to residents and community members and seeking to understand the barriers to community engagement helps to minimise feelings of intimidation, disengagement and non-compliance.</w:t>
            </w:r>
          </w:p>
        </w:tc>
        <w:tc>
          <w:tcPr>
            <w:tcW w:w="2765" w:type="dxa"/>
          </w:tcPr>
          <w:p w14:paraId="018CF6C3" w14:textId="77777777" w:rsidR="002C2F47" w:rsidRPr="00FD0C9C" w:rsidRDefault="00FD0C9C" w:rsidP="002C2F47">
            <w:pPr>
              <w:pStyle w:val="DHHStablebullet"/>
              <w:rPr>
                <w:sz w:val="18"/>
                <w:szCs w:val="18"/>
              </w:rPr>
            </w:pPr>
            <w:r w:rsidRPr="00FD0C9C">
              <w:rPr>
                <w:sz w:val="18"/>
                <w:szCs w:val="18"/>
              </w:rPr>
              <w:t xml:space="preserve">Residents and the resident voice must be a central focus of community engagement. </w:t>
            </w:r>
          </w:p>
          <w:p w14:paraId="77F43E0B" w14:textId="77777777" w:rsidR="00FD0C9C" w:rsidRPr="00FD0C9C" w:rsidRDefault="00FD0C9C" w:rsidP="002C2F47">
            <w:pPr>
              <w:pStyle w:val="DHHStablebullet"/>
              <w:rPr>
                <w:sz w:val="18"/>
                <w:szCs w:val="18"/>
              </w:rPr>
            </w:pPr>
            <w:r w:rsidRPr="00FD0C9C">
              <w:rPr>
                <w:sz w:val="18"/>
                <w:szCs w:val="18"/>
              </w:rPr>
              <w:t>Residents are experts on the experience of living in the community, whether it be public or community housing, a rooming house or specialist residential services. They are best placed to tell us how an emergency and associated responses(s) affects them.</w:t>
            </w:r>
          </w:p>
          <w:p w14:paraId="4BFE3690" w14:textId="77777777" w:rsidR="00FD0C9C" w:rsidRPr="00FD0C9C" w:rsidRDefault="00FD0C9C" w:rsidP="002C2F47">
            <w:pPr>
              <w:pStyle w:val="DHHStablebullet"/>
              <w:rPr>
                <w:sz w:val="18"/>
                <w:szCs w:val="18"/>
              </w:rPr>
            </w:pPr>
            <w:r w:rsidRPr="00FD0C9C">
              <w:rPr>
                <w:sz w:val="18"/>
                <w:szCs w:val="18"/>
              </w:rPr>
              <w:t>Contributions of residents and the unique value of the resident voice should be appropriately recognised and remunerated.</w:t>
            </w:r>
          </w:p>
          <w:p w14:paraId="581D5FB6" w14:textId="4238B16E" w:rsidR="00FD0C9C" w:rsidRPr="00FD0C9C" w:rsidRDefault="00FD0C9C" w:rsidP="002C2F47">
            <w:pPr>
              <w:pStyle w:val="DHHStablebullet"/>
              <w:rPr>
                <w:sz w:val="18"/>
                <w:szCs w:val="18"/>
              </w:rPr>
            </w:pPr>
            <w:r w:rsidRPr="00FD0C9C">
              <w:rPr>
                <w:sz w:val="18"/>
                <w:szCs w:val="18"/>
              </w:rPr>
              <w:t>Residents and community members have ideas and solutions about how information can be shared an</w:t>
            </w:r>
            <w:r w:rsidR="004C13C9">
              <w:rPr>
                <w:sz w:val="18"/>
                <w:szCs w:val="18"/>
              </w:rPr>
              <w:t>d</w:t>
            </w:r>
            <w:r w:rsidRPr="00FD0C9C">
              <w:rPr>
                <w:sz w:val="18"/>
                <w:szCs w:val="18"/>
              </w:rPr>
              <w:t xml:space="preserve"> ways to keep themselves and each other safe.</w:t>
            </w:r>
          </w:p>
        </w:tc>
        <w:tc>
          <w:tcPr>
            <w:tcW w:w="2268" w:type="dxa"/>
          </w:tcPr>
          <w:p w14:paraId="094CAD08" w14:textId="77777777" w:rsidR="002C2F47" w:rsidRPr="00FD0C9C" w:rsidRDefault="00FD0C9C" w:rsidP="002C2F47">
            <w:pPr>
              <w:pStyle w:val="DHHStablebullet"/>
              <w:rPr>
                <w:sz w:val="18"/>
                <w:szCs w:val="18"/>
              </w:rPr>
            </w:pPr>
            <w:r w:rsidRPr="00FD0C9C">
              <w:rPr>
                <w:sz w:val="18"/>
                <w:szCs w:val="18"/>
              </w:rPr>
              <w:t xml:space="preserve">Community engagement should be targeted and designed at a local level. It should be based on a strong understanding of the values, diversity, dynamics, strengths, needs and priorities of residents and their unique communities. </w:t>
            </w:r>
          </w:p>
          <w:p w14:paraId="75E3289D" w14:textId="06BD6515" w:rsidR="00FD0C9C" w:rsidRPr="00FD0C9C" w:rsidRDefault="00FD0C9C" w:rsidP="002C2F47">
            <w:pPr>
              <w:pStyle w:val="DHHStablebullet"/>
              <w:rPr>
                <w:sz w:val="18"/>
                <w:szCs w:val="18"/>
              </w:rPr>
            </w:pPr>
            <w:r w:rsidRPr="00FD0C9C">
              <w:rPr>
                <w:sz w:val="18"/>
                <w:szCs w:val="18"/>
              </w:rPr>
              <w:t xml:space="preserve">Effective community engagement supports and builds on individuals’ and community’s ability to identify and resolve risks and barriers </w:t>
            </w:r>
            <w:r w:rsidR="004C13C9">
              <w:rPr>
                <w:sz w:val="18"/>
                <w:szCs w:val="18"/>
              </w:rPr>
              <w:t xml:space="preserve">to </w:t>
            </w:r>
            <w:r w:rsidRPr="00FD0C9C">
              <w:rPr>
                <w:sz w:val="18"/>
                <w:szCs w:val="18"/>
              </w:rPr>
              <w:t>complying with health advice.</w:t>
            </w:r>
          </w:p>
        </w:tc>
        <w:tc>
          <w:tcPr>
            <w:tcW w:w="2835" w:type="dxa"/>
          </w:tcPr>
          <w:p w14:paraId="1A43C89D" w14:textId="77777777" w:rsidR="002C2F47" w:rsidRPr="00FD0C9C" w:rsidRDefault="00FD0C9C" w:rsidP="002C2F47">
            <w:pPr>
              <w:pStyle w:val="DHHStablebullet"/>
              <w:rPr>
                <w:sz w:val="18"/>
                <w:szCs w:val="18"/>
              </w:rPr>
            </w:pPr>
            <w:r w:rsidRPr="00FD0C9C">
              <w:rPr>
                <w:sz w:val="18"/>
                <w:szCs w:val="18"/>
              </w:rPr>
              <w:t>Recognise and build on the cultural strengths of the community.</w:t>
            </w:r>
          </w:p>
          <w:p w14:paraId="49E76963" w14:textId="77777777" w:rsidR="00FD0C9C" w:rsidRPr="00FD0C9C" w:rsidRDefault="00FD0C9C" w:rsidP="002C2F47">
            <w:pPr>
              <w:pStyle w:val="DHHStablebullet"/>
              <w:rPr>
                <w:sz w:val="18"/>
                <w:szCs w:val="18"/>
              </w:rPr>
            </w:pPr>
            <w:r w:rsidRPr="00FD0C9C">
              <w:rPr>
                <w:sz w:val="18"/>
                <w:szCs w:val="18"/>
              </w:rPr>
              <w:t>Ensure intended and unintended consequences of the community engagement approach do not create harm to individuals or the community.</w:t>
            </w:r>
          </w:p>
          <w:p w14:paraId="4BFC422C" w14:textId="77777777" w:rsidR="00FD0C9C" w:rsidRPr="00FD0C9C" w:rsidRDefault="00FD0C9C" w:rsidP="002C2F47">
            <w:pPr>
              <w:pStyle w:val="DHHStablebullet"/>
              <w:rPr>
                <w:sz w:val="18"/>
                <w:szCs w:val="18"/>
              </w:rPr>
            </w:pPr>
            <w:r w:rsidRPr="00FD0C9C">
              <w:rPr>
                <w:sz w:val="18"/>
                <w:szCs w:val="18"/>
              </w:rPr>
              <w:t>Be mindful of historical contexts for groups of individuals.</w:t>
            </w:r>
          </w:p>
          <w:p w14:paraId="3B8B80D2" w14:textId="77777777" w:rsidR="00FD0C9C" w:rsidRPr="00FD0C9C" w:rsidRDefault="00FD0C9C" w:rsidP="002C2F47">
            <w:pPr>
              <w:pStyle w:val="DHHStablebullet"/>
              <w:rPr>
                <w:sz w:val="18"/>
                <w:szCs w:val="18"/>
              </w:rPr>
            </w:pPr>
            <w:r w:rsidRPr="00FD0C9C">
              <w:rPr>
                <w:sz w:val="18"/>
                <w:szCs w:val="18"/>
              </w:rPr>
              <w:t>Use strategies that encourage engagement and minimise distrust.</w:t>
            </w:r>
          </w:p>
          <w:p w14:paraId="30080287" w14:textId="64ACB9AC" w:rsidR="00FD0C9C" w:rsidRPr="00FD0C9C" w:rsidRDefault="00FD0C9C" w:rsidP="002C2F47">
            <w:pPr>
              <w:pStyle w:val="DHHStablebullet"/>
              <w:rPr>
                <w:sz w:val="18"/>
                <w:szCs w:val="18"/>
              </w:rPr>
            </w:pPr>
            <w:r w:rsidRPr="00FD0C9C">
              <w:rPr>
                <w:sz w:val="18"/>
                <w:szCs w:val="18"/>
              </w:rPr>
              <w:t>Initiate opportunities for choice, collaboration and connection.</w:t>
            </w:r>
          </w:p>
        </w:tc>
        <w:tc>
          <w:tcPr>
            <w:tcW w:w="2693" w:type="dxa"/>
          </w:tcPr>
          <w:p w14:paraId="34999C5A" w14:textId="77777777" w:rsidR="002C2F47" w:rsidRPr="00FD0C9C" w:rsidRDefault="00FD0C9C" w:rsidP="002C2F47">
            <w:pPr>
              <w:pStyle w:val="DHHStablebullet"/>
              <w:rPr>
                <w:sz w:val="18"/>
                <w:szCs w:val="18"/>
              </w:rPr>
            </w:pPr>
            <w:r w:rsidRPr="00FD0C9C">
              <w:rPr>
                <w:sz w:val="18"/>
                <w:szCs w:val="18"/>
              </w:rPr>
              <w:t>All residents and community members are valued and respected, differences are validated and appreciated.</w:t>
            </w:r>
          </w:p>
          <w:p w14:paraId="35592FA2" w14:textId="02921ACB" w:rsidR="00FD0C9C" w:rsidRPr="00FD0C9C" w:rsidRDefault="00FD0C9C" w:rsidP="002C2F47">
            <w:pPr>
              <w:pStyle w:val="DHHStablebullet"/>
              <w:rPr>
                <w:sz w:val="18"/>
                <w:szCs w:val="18"/>
              </w:rPr>
            </w:pPr>
            <w:r w:rsidRPr="00FD0C9C">
              <w:rPr>
                <w:sz w:val="18"/>
                <w:szCs w:val="18"/>
              </w:rPr>
              <w:t>Communities have built their own infrastructure and support systems that we need to understand and work with to achieve optimal health, wellbeing and safety outcomes.</w:t>
            </w:r>
          </w:p>
        </w:tc>
      </w:tr>
    </w:tbl>
    <w:p w14:paraId="508BB372" w14:textId="77777777" w:rsidR="008061FD" w:rsidRDefault="008061FD" w:rsidP="002C2F47">
      <w:pPr>
        <w:pStyle w:val="DHHStablecaption"/>
      </w:pPr>
    </w:p>
    <w:p w14:paraId="53249A59" w14:textId="77777777" w:rsidR="008061FD" w:rsidRDefault="008061FD">
      <w:pPr>
        <w:spacing w:after="0" w:line="240" w:lineRule="auto"/>
        <w:rPr>
          <w:b/>
          <w:sz w:val="20"/>
        </w:rPr>
      </w:pPr>
      <w:r>
        <w:br w:type="page"/>
      </w:r>
    </w:p>
    <w:p w14:paraId="62838128" w14:textId="77777777" w:rsidR="008061FD" w:rsidRDefault="008061FD" w:rsidP="002C2F47">
      <w:pPr>
        <w:pStyle w:val="DHHStablecaption"/>
        <w:sectPr w:rsidR="008061FD" w:rsidSect="00882E6D">
          <w:pgSz w:w="16838" w:h="11906" w:orient="landscape" w:code="9"/>
          <w:pgMar w:top="720" w:right="567" w:bottom="720" w:left="720" w:header="408" w:footer="851" w:gutter="0"/>
          <w:cols w:space="340"/>
          <w:docGrid w:linePitch="360"/>
        </w:sectPr>
      </w:pPr>
    </w:p>
    <w:p w14:paraId="67E1D450" w14:textId="485791DC" w:rsidR="00722F2B" w:rsidRDefault="002C2F47" w:rsidP="002C2F47">
      <w:pPr>
        <w:pStyle w:val="DHHStablecaption"/>
      </w:pPr>
      <w:r>
        <w:lastRenderedPageBreak/>
        <w:t>Community engagement and planning</w:t>
      </w:r>
    </w:p>
    <w:p w14:paraId="47394E1F" w14:textId="2B196CF8" w:rsidR="00F73FBF" w:rsidRDefault="009848B2" w:rsidP="002C2F47">
      <w:pPr>
        <w:pStyle w:val="DHHSbody"/>
      </w:pPr>
      <w:r>
        <w:t>Community engagement is a core function of the High-Risk Accommodation Response (HRAR) to support COVID-19 preparedness, prevention and outbreak management. Under the HRAR&lt; lead providers are required to develop a community engagement plan for their catchment. T</w:t>
      </w:r>
      <w:r w:rsidR="00F73FBF">
        <w:t>o</w:t>
      </w:r>
      <w:r>
        <w:t xml:space="preserve"> achieve this, lead providers are expected to engage and partner with residents, community members, community service organisations and government to ensure culturally appropriate and accessible public health messages</w:t>
      </w:r>
      <w:r w:rsidR="00F73FBF">
        <w:t xml:space="preserve"> and COVID-safe practices are in place to reduce the risk of transmission and protect </w:t>
      </w:r>
      <w:r w:rsidR="004C13C9">
        <w:t xml:space="preserve">the </w:t>
      </w:r>
      <w:r w:rsidR="00F73FBF">
        <w:t>health, wellbeing and safety of residents.</w:t>
      </w:r>
    </w:p>
    <w:p w14:paraId="3EB4F3D9" w14:textId="30B8134A" w:rsidR="002C2F47" w:rsidRDefault="00F73FBF" w:rsidP="002C2F47">
      <w:pPr>
        <w:pStyle w:val="DHHSbody"/>
      </w:pPr>
      <w:r>
        <w:t>Community engagement planning should align with public health advice provided by the Department of Health and Human Services (</w:t>
      </w:r>
      <w:r w:rsidRPr="00F73FBF">
        <w:rPr>
          <w:b/>
          <w:bCs/>
        </w:rPr>
        <w:t>refer page 25</w:t>
      </w:r>
      <w:r>
        <w:t>) and</w:t>
      </w:r>
      <w:r w:rsidR="009848B2">
        <w:t xml:space="preserve"> </w:t>
      </w:r>
      <w:r>
        <w:t>include a focus on safety planning and wellbeing supports for all individuals leading and participating in community engagement activities (</w:t>
      </w:r>
      <w:r w:rsidRPr="00F73FBF">
        <w:rPr>
          <w:b/>
          <w:bCs/>
        </w:rPr>
        <w:t>refer page 33</w:t>
      </w:r>
      <w: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Community engagement and planning - from the Community Engagement Toolkit"/>
        <w:tblDescription w:val="Understanding the local community; Engageing everyone in the community, in ways they can understand and that makes sense."/>
      </w:tblPr>
      <w:tblGrid>
        <w:gridCol w:w="5228"/>
        <w:gridCol w:w="5228"/>
      </w:tblGrid>
      <w:tr w:rsidR="002C2F47" w14:paraId="062E7036" w14:textId="77777777" w:rsidTr="002C2F47">
        <w:tc>
          <w:tcPr>
            <w:tcW w:w="5228" w:type="dxa"/>
          </w:tcPr>
          <w:p w14:paraId="14CC5FE4" w14:textId="18F767BF" w:rsidR="002C2F47" w:rsidRPr="002C2F47" w:rsidRDefault="002C2F47" w:rsidP="002C2F47">
            <w:pPr>
              <w:pStyle w:val="DHHStablecolhead"/>
            </w:pPr>
            <w:r w:rsidRPr="002C2F47">
              <w:t>Understanding the local community</w:t>
            </w:r>
          </w:p>
        </w:tc>
        <w:tc>
          <w:tcPr>
            <w:tcW w:w="5228" w:type="dxa"/>
          </w:tcPr>
          <w:p w14:paraId="7F875756" w14:textId="2EFE3904" w:rsidR="002C2F47" w:rsidRPr="002C2F47" w:rsidRDefault="002C2F47" w:rsidP="002C2F47">
            <w:pPr>
              <w:pStyle w:val="DHHStablecolhead"/>
            </w:pPr>
            <w:r w:rsidRPr="002C2F47">
              <w:t>Engaging everyone in the community, in ways they can understand and that make sense</w:t>
            </w:r>
          </w:p>
        </w:tc>
      </w:tr>
      <w:tr w:rsidR="002C2F47" w14:paraId="5377A731" w14:textId="77777777" w:rsidTr="002C2F47">
        <w:tc>
          <w:tcPr>
            <w:tcW w:w="5228" w:type="dxa"/>
          </w:tcPr>
          <w:p w14:paraId="5AB95252" w14:textId="77777777" w:rsidR="002C2F47" w:rsidRDefault="00F73FBF" w:rsidP="002C2F47">
            <w:pPr>
              <w:pStyle w:val="DHHStabletext"/>
            </w:pPr>
            <w:r>
              <w:t>It is critical that HRAR lead providers know the high risk accommodation facilities in their catchments and the residents and communities they are working with. This knowledge will assist lead providers to develop effective engagement strategies for managing risks and optimising health, wellbeing and safety.</w:t>
            </w:r>
          </w:p>
          <w:p w14:paraId="34095BF0" w14:textId="097623D7" w:rsidR="00F73FBF" w:rsidRDefault="00F73FBF" w:rsidP="002C2F47">
            <w:pPr>
              <w:pStyle w:val="DHHStabletext"/>
            </w:pPr>
            <w:r>
              <w:t xml:space="preserve">The checklist on </w:t>
            </w:r>
            <w:r w:rsidRPr="00F73FBF">
              <w:rPr>
                <w:b/>
                <w:bCs/>
              </w:rPr>
              <w:t>page 14</w:t>
            </w:r>
            <w:r>
              <w:t xml:space="preserve"> in this toolkit guides community engagement planning for COVID-19 preparation for COVID-19 prevention and outbreak management under the HRAR, and provides an opportunity to identify gaps and opportunities, </w:t>
            </w:r>
          </w:p>
          <w:p w14:paraId="3E9385BC" w14:textId="6D4ACD8F" w:rsidR="00F73FBF" w:rsidRPr="002C2F47" w:rsidRDefault="00F73FBF" w:rsidP="002C2F47">
            <w:pPr>
              <w:pStyle w:val="DHHStabletext"/>
            </w:pPr>
            <w:r>
              <w:t>In completing the checklist it is recommended that lead providers use a blended approach to analysis, drawing from available data as well as early engagement with residents, community leaders, proprietors and other key community stakeholders.</w:t>
            </w:r>
          </w:p>
        </w:tc>
        <w:tc>
          <w:tcPr>
            <w:tcW w:w="5228" w:type="dxa"/>
          </w:tcPr>
          <w:p w14:paraId="75854B1F" w14:textId="155C2E73" w:rsidR="002C2F47" w:rsidRDefault="00F73FBF" w:rsidP="002C2F47">
            <w:pPr>
              <w:pStyle w:val="DHHStabletext"/>
            </w:pPr>
            <w:r>
              <w:t xml:space="preserve">The community engagement approach should consider ways to engagement </w:t>
            </w:r>
            <w:r w:rsidR="004C13C9">
              <w:t xml:space="preserve">and </w:t>
            </w:r>
            <w:r>
              <w:t xml:space="preserve">hear from Aboriginal and Torres Strait Islander </w:t>
            </w:r>
            <w:r w:rsidR="00AD5216">
              <w:t xml:space="preserve">people. Culturally and linguistically diverse people, people with a disability, children and young people, the elderly, refugees and asylum seekers, people who are LGBTI, those with low/no-literacy and those without access to the internet or digital devices. </w:t>
            </w:r>
          </w:p>
          <w:p w14:paraId="58B253A4" w14:textId="0C6EA75B" w:rsidR="00AD5216" w:rsidRDefault="00AD5216" w:rsidP="002C2F47">
            <w:pPr>
              <w:pStyle w:val="DHHStabletext"/>
            </w:pPr>
            <w:r>
              <w:t>It is important to understand the potential barriers to engagement and the associated risks to COVID-19 preparedness, prevents and outbreak management. By understanding barriers, the needs and preference</w:t>
            </w:r>
            <w:r w:rsidR="004C13C9">
              <w:t>s</w:t>
            </w:r>
            <w:r>
              <w:t xml:space="preserve"> of everyone can be better supported.</w:t>
            </w:r>
          </w:p>
          <w:p w14:paraId="3C7E4707" w14:textId="2D525C9F" w:rsidR="00AD5216" w:rsidRPr="002C2F47" w:rsidRDefault="00AD5216" w:rsidP="002C2F47">
            <w:pPr>
              <w:pStyle w:val="DHHStabletext"/>
            </w:pPr>
            <w:r>
              <w:t>Knowing who has established and trusted relationships with residents and the community and how they may be able to support engagement activities is also important.</w:t>
            </w:r>
          </w:p>
        </w:tc>
      </w:tr>
    </w:tbl>
    <w:p w14:paraId="57011690" w14:textId="6CDB473B" w:rsidR="00CB7D21" w:rsidRDefault="00CB7D21" w:rsidP="00CB7D21"/>
    <w:p w14:paraId="5FCB7524" w14:textId="77777777" w:rsidR="00CB7D21" w:rsidRPr="00CB7D21" w:rsidRDefault="00CB7D21" w:rsidP="00CB7D21">
      <w:pPr>
        <w:pStyle w:val="DHHStablecaption"/>
        <w:rPr>
          <w:rFonts w:ascii="Segoe UI" w:hAnsi="Segoe UI" w:cs="Segoe UI"/>
          <w:sz w:val="21"/>
          <w:szCs w:val="21"/>
          <w:lang w:eastAsia="en-AU"/>
        </w:rPr>
      </w:pPr>
      <w:r w:rsidRPr="00CB7D21">
        <w:rPr>
          <w:sz w:val="21"/>
          <w:szCs w:val="21"/>
          <w:lang w:eastAsia="en-AU"/>
        </w:rPr>
        <w:t>Key outputs: community engagement  </w:t>
      </w:r>
    </w:p>
    <w:tbl>
      <w:tblPr>
        <w:tblW w:w="10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6513"/>
        <w:gridCol w:w="992"/>
        <w:gridCol w:w="1134"/>
        <w:gridCol w:w="1559"/>
      </w:tblGrid>
      <w:tr w:rsidR="00CB7D21" w:rsidRPr="00CB7D21" w14:paraId="498D15E2" w14:textId="77777777" w:rsidTr="00EC78F8">
        <w:trPr>
          <w:trHeight w:val="645"/>
          <w:tblHeader/>
        </w:trPr>
        <w:tc>
          <w:tcPr>
            <w:tcW w:w="6513" w:type="dxa"/>
            <w:shd w:val="clear" w:color="auto" w:fill="auto"/>
            <w:hideMark/>
          </w:tcPr>
          <w:p w14:paraId="1B59D653" w14:textId="77777777" w:rsidR="00CB7D21" w:rsidRPr="00621CAE" w:rsidRDefault="00CB7D21" w:rsidP="005325AE">
            <w:pPr>
              <w:pStyle w:val="DHHStablecolhead"/>
            </w:pPr>
            <w:r w:rsidRPr="00621CAE">
              <w:t>Description </w:t>
            </w:r>
          </w:p>
        </w:tc>
        <w:tc>
          <w:tcPr>
            <w:tcW w:w="992" w:type="dxa"/>
            <w:shd w:val="clear" w:color="auto" w:fill="auto"/>
            <w:hideMark/>
          </w:tcPr>
          <w:p w14:paraId="607FE55F" w14:textId="77777777" w:rsidR="00CB7D21" w:rsidRPr="00621CAE" w:rsidRDefault="00CB7D21" w:rsidP="005325AE">
            <w:pPr>
              <w:pStyle w:val="DHHStablecolhead"/>
            </w:pPr>
            <w:r w:rsidRPr="00621CAE">
              <w:t>Trigger and timing </w:t>
            </w:r>
          </w:p>
        </w:tc>
        <w:tc>
          <w:tcPr>
            <w:tcW w:w="1134" w:type="dxa"/>
            <w:shd w:val="clear" w:color="auto" w:fill="auto"/>
            <w:hideMark/>
          </w:tcPr>
          <w:p w14:paraId="258F68B2" w14:textId="77777777" w:rsidR="00CB7D21" w:rsidRPr="00621CAE" w:rsidRDefault="00CB7D21" w:rsidP="005325AE">
            <w:pPr>
              <w:pStyle w:val="DHHStablecolhead"/>
            </w:pPr>
            <w:r w:rsidRPr="00621CAE">
              <w:t>Led by </w:t>
            </w:r>
          </w:p>
        </w:tc>
        <w:tc>
          <w:tcPr>
            <w:tcW w:w="1559" w:type="dxa"/>
            <w:shd w:val="clear" w:color="auto" w:fill="auto"/>
            <w:hideMark/>
          </w:tcPr>
          <w:p w14:paraId="09B03FD2" w14:textId="77777777" w:rsidR="00CB7D21" w:rsidRPr="00621CAE" w:rsidRDefault="00CB7D21" w:rsidP="005325AE">
            <w:pPr>
              <w:pStyle w:val="DHHStablecolhead"/>
            </w:pPr>
            <w:r w:rsidRPr="00621CAE">
              <w:t>Role of Lead Provider </w:t>
            </w:r>
          </w:p>
        </w:tc>
      </w:tr>
      <w:tr w:rsidR="00CB7D21" w:rsidRPr="00CB7D21" w14:paraId="72C08EC4" w14:textId="77777777" w:rsidTr="00717ED8">
        <w:trPr>
          <w:trHeight w:val="645"/>
        </w:trPr>
        <w:tc>
          <w:tcPr>
            <w:tcW w:w="6513" w:type="dxa"/>
            <w:shd w:val="clear" w:color="auto" w:fill="auto"/>
          </w:tcPr>
          <w:p w14:paraId="448D5A97" w14:textId="77777777" w:rsidR="00CB7D21" w:rsidRPr="00CB7D21" w:rsidRDefault="00CB7D21" w:rsidP="002C2F47">
            <w:pPr>
              <w:pStyle w:val="DHHStablebullet"/>
              <w:rPr>
                <w:lang w:eastAsia="en-AU"/>
              </w:rPr>
            </w:pPr>
            <w:r w:rsidRPr="00CB7D21">
              <w:rPr>
                <w:lang w:eastAsia="en-AU"/>
              </w:rPr>
              <w:t xml:space="preserve">Liaison with RREM through divisional HRAR teams regarding engagement approach and information to be provided about COVID-19 and vaccination </w:t>
            </w:r>
            <w:r w:rsidRPr="00CB7D21">
              <w:rPr>
                <w:highlight w:val="yellow"/>
                <w:lang w:eastAsia="en-AU"/>
              </w:rPr>
              <w:t>including boosters and rapid antigen testing,</w:t>
            </w:r>
            <w:r w:rsidRPr="00CB7D21">
              <w:rPr>
                <w:lang w:eastAsia="en-AU"/>
              </w:rPr>
              <w:t xml:space="preserve"> ensuring that activities are fully aligned with government approaches and outputs.</w:t>
            </w:r>
          </w:p>
          <w:p w14:paraId="7DD92460" w14:textId="77777777" w:rsidR="00CB7D21" w:rsidRPr="00CB7D21" w:rsidRDefault="00CB7D21" w:rsidP="002C2F47">
            <w:pPr>
              <w:pStyle w:val="DHHStablebullet"/>
              <w:rPr>
                <w:lang w:eastAsia="en-AU"/>
              </w:rPr>
            </w:pPr>
            <w:r w:rsidRPr="00CB7D21">
              <w:rPr>
                <w:lang w:eastAsia="en-AU"/>
              </w:rPr>
              <w:t>Provision of information about COVID-19 risks in a range of formats which meet the needs of the diverse groups identified in catchment leadership groups including accessible communications and in community languages.</w:t>
            </w:r>
          </w:p>
          <w:p w14:paraId="0E5568B2" w14:textId="77777777" w:rsidR="00CB7D21" w:rsidRPr="00CB7D21" w:rsidRDefault="00CB7D21" w:rsidP="002C2F47">
            <w:pPr>
              <w:pStyle w:val="DHHStablebullet"/>
              <w:rPr>
                <w:lang w:eastAsia="en-AU"/>
              </w:rPr>
            </w:pPr>
            <w:r w:rsidRPr="00CB7D21">
              <w:rPr>
                <w:lang w:eastAsia="en-AU"/>
              </w:rPr>
              <w:t>Provision of information about the vaccination program in a range of formats which meet the needs of the diverse groups identified in catchment leadership groups.</w:t>
            </w:r>
          </w:p>
          <w:p w14:paraId="7D9E24D7" w14:textId="77777777" w:rsidR="00CB7D21" w:rsidRPr="00CB7D21" w:rsidRDefault="00CB7D21" w:rsidP="002C2F47">
            <w:pPr>
              <w:pStyle w:val="DHHStablebullet"/>
              <w:rPr>
                <w:lang w:eastAsia="en-AU"/>
              </w:rPr>
            </w:pPr>
            <w:r w:rsidRPr="00CB7D21">
              <w:rPr>
                <w:lang w:eastAsia="en-AU"/>
              </w:rPr>
              <w:t>Develop messaging that responds to the identified risks and barriers facing individual site and communities.</w:t>
            </w:r>
          </w:p>
          <w:p w14:paraId="36F84471" w14:textId="77777777" w:rsidR="00CB7D21" w:rsidRPr="00CB7D21" w:rsidRDefault="00CB7D21" w:rsidP="002C2F47">
            <w:pPr>
              <w:pStyle w:val="DHHStablebullet"/>
              <w:rPr>
                <w:lang w:eastAsia="en-AU"/>
              </w:rPr>
            </w:pPr>
            <w:r w:rsidRPr="00CB7D21">
              <w:rPr>
                <w:lang w:eastAsia="en-AU"/>
              </w:rPr>
              <w:t>Ensure development of engagement strategies and platforms that are appropriate to each setting and targeted to the individuals/communities residing at each location.</w:t>
            </w:r>
          </w:p>
          <w:p w14:paraId="6D667219" w14:textId="77777777" w:rsidR="00CB7D21" w:rsidRPr="00CB7D21" w:rsidRDefault="00CB7D21" w:rsidP="002C2F47">
            <w:pPr>
              <w:pStyle w:val="DHHStablebullet"/>
              <w:rPr>
                <w:lang w:eastAsia="en-AU"/>
              </w:rPr>
            </w:pPr>
            <w:r w:rsidRPr="00CB7D21">
              <w:rPr>
                <w:lang w:eastAsia="en-AU"/>
              </w:rPr>
              <w:t>Development of tools, resources and activities appropriate to community engagement activities in each setting.</w:t>
            </w:r>
          </w:p>
          <w:p w14:paraId="0E341B20" w14:textId="77777777" w:rsidR="00CB7D21" w:rsidRPr="00CB7D21" w:rsidRDefault="00CB7D21" w:rsidP="002C2F47">
            <w:pPr>
              <w:pStyle w:val="DHHStablebullet"/>
              <w:rPr>
                <w:rFonts w:eastAsiaTheme="minorEastAsia"/>
                <w:lang w:eastAsia="en-AU"/>
              </w:rPr>
            </w:pPr>
            <w:r w:rsidRPr="00CB7D21">
              <w:rPr>
                <w:lang w:eastAsia="en-AU"/>
              </w:rPr>
              <w:lastRenderedPageBreak/>
              <w:t>Ongoing engagement with residents, proprietors / landlords and HRAR communities to inform planning and the provision of support.</w:t>
            </w:r>
          </w:p>
          <w:p w14:paraId="00015FCA" w14:textId="77777777" w:rsidR="00CB7D21" w:rsidRPr="00CB7D21" w:rsidRDefault="00CB7D21" w:rsidP="002C2F47">
            <w:pPr>
              <w:pStyle w:val="DHHStablebullet"/>
              <w:rPr>
                <w:lang w:eastAsia="en-AU"/>
              </w:rPr>
            </w:pPr>
            <w:r w:rsidRPr="00CB7D21">
              <w:rPr>
                <w:lang w:eastAsia="en-AU"/>
              </w:rPr>
              <w:t>Ensure residents are respectfully engaged as members of their community.</w:t>
            </w:r>
          </w:p>
          <w:p w14:paraId="4FC46E98" w14:textId="77777777" w:rsidR="00CB7D21" w:rsidRPr="00CB7D21" w:rsidRDefault="00CB7D21" w:rsidP="002C2F47">
            <w:pPr>
              <w:pStyle w:val="DHHStablebullet"/>
              <w:rPr>
                <w:lang w:eastAsia="en-AU"/>
              </w:rPr>
            </w:pPr>
            <w:r w:rsidRPr="00CB7D21">
              <w:rPr>
                <w:lang w:eastAsia="en-AU"/>
              </w:rPr>
              <w:t>Ensure community engagement activities respect each person’s cultural preferences and their human rights.</w:t>
            </w:r>
          </w:p>
        </w:tc>
        <w:tc>
          <w:tcPr>
            <w:tcW w:w="992" w:type="dxa"/>
            <w:shd w:val="clear" w:color="auto" w:fill="auto"/>
          </w:tcPr>
          <w:p w14:paraId="3DD3AF7C" w14:textId="77777777" w:rsidR="00CB7D21" w:rsidRPr="00621CAE" w:rsidRDefault="00CB7D21" w:rsidP="00621CAE">
            <w:pPr>
              <w:pStyle w:val="DHHStabletext"/>
            </w:pPr>
            <w:r w:rsidRPr="00621CAE">
              <w:lastRenderedPageBreak/>
              <w:t>Ongoing</w:t>
            </w:r>
          </w:p>
        </w:tc>
        <w:tc>
          <w:tcPr>
            <w:tcW w:w="1134" w:type="dxa"/>
            <w:shd w:val="clear" w:color="auto" w:fill="auto"/>
          </w:tcPr>
          <w:p w14:paraId="7D000FD2" w14:textId="77777777" w:rsidR="00CB7D21" w:rsidRPr="00621CAE" w:rsidRDefault="00CB7D21" w:rsidP="00621CAE">
            <w:pPr>
              <w:pStyle w:val="DHHStabletext"/>
            </w:pPr>
            <w:r w:rsidRPr="00621CAE">
              <w:t>Lead Provider</w:t>
            </w:r>
          </w:p>
        </w:tc>
        <w:tc>
          <w:tcPr>
            <w:tcW w:w="1559" w:type="dxa"/>
            <w:shd w:val="clear" w:color="auto" w:fill="auto"/>
          </w:tcPr>
          <w:p w14:paraId="066BDB16" w14:textId="77777777" w:rsidR="00CB7D21" w:rsidRPr="00621CAE" w:rsidRDefault="00CB7D21" w:rsidP="00621CAE">
            <w:pPr>
              <w:pStyle w:val="DHHStabletext"/>
            </w:pPr>
            <w:r w:rsidRPr="00621CAE">
              <w:t>To deliver and establish community engagement processes</w:t>
            </w:r>
          </w:p>
        </w:tc>
      </w:tr>
    </w:tbl>
    <w:p w14:paraId="74D4A8CD" w14:textId="77777777" w:rsidR="00CB7D21" w:rsidRPr="000112A3" w:rsidRDefault="00CB7D21" w:rsidP="000112A3">
      <w:pPr>
        <w:pStyle w:val="Heading2"/>
      </w:pPr>
      <w:bookmarkStart w:id="45" w:name="_Toc93219784"/>
      <w:bookmarkStart w:id="46" w:name="_Toc93905397"/>
      <w:r w:rsidRPr="000112A3">
        <w:t>Prevention and preparedness</w:t>
      </w:r>
      <w:bookmarkEnd w:id="45"/>
      <w:bookmarkEnd w:id="46"/>
    </w:p>
    <w:p w14:paraId="1D5CC480" w14:textId="77777777" w:rsidR="00CB7D21" w:rsidRPr="00621CAE" w:rsidRDefault="00CB7D21" w:rsidP="000112A3">
      <w:pPr>
        <w:pStyle w:val="Heading3"/>
        <w:spacing w:before="240"/>
      </w:pPr>
      <w:r w:rsidRPr="00621CAE">
        <w:t>Prevention and preparedness objectives</w:t>
      </w:r>
    </w:p>
    <w:p w14:paraId="6777AD0B" w14:textId="78579832" w:rsidR="00541C69" w:rsidRPr="00621CAE" w:rsidRDefault="00CB7D21" w:rsidP="00621CAE">
      <w:pPr>
        <w:pStyle w:val="DHHSbody"/>
      </w:pPr>
      <w:r>
        <w:t xml:space="preserve">Continue the delivery of </w:t>
      </w:r>
      <w:r w:rsidRPr="006E756D">
        <w:t>COVID-19 prevention and preparedness activities that impart increased understanding of Public Health messages, including infection control and transmission risks</w:t>
      </w:r>
      <w:r w:rsidRPr="53C1EA60">
        <w:t xml:space="preserve"> </w:t>
      </w:r>
      <w:r w:rsidRPr="002F59BF">
        <w:t>and vaccine support</w:t>
      </w:r>
      <w:r>
        <w:t xml:space="preserve"> </w:t>
      </w:r>
      <w:r w:rsidRPr="00E66D4E">
        <w:rPr>
          <w:highlight w:val="yellow"/>
        </w:rPr>
        <w:t>with a targeted focus on priority communities where risk and impact is higher.</w:t>
      </w:r>
      <w:r w:rsidRPr="006E756D">
        <w:t xml:space="preserve"> </w:t>
      </w:r>
    </w:p>
    <w:p w14:paraId="780765DE" w14:textId="2B5F00C3" w:rsidR="00CB7D21" w:rsidRPr="00621CAE" w:rsidRDefault="00CB7D21" w:rsidP="000112A3">
      <w:pPr>
        <w:pStyle w:val="Heading3"/>
        <w:spacing w:before="240"/>
      </w:pPr>
      <w:r w:rsidRPr="00621CAE">
        <w:t>Prevention and preparedness goals</w:t>
      </w:r>
    </w:p>
    <w:p w14:paraId="4EDBF51A" w14:textId="77777777" w:rsidR="00CB7D21" w:rsidRPr="00CB7D21" w:rsidRDefault="00CB7D21" w:rsidP="004C1E48">
      <w:pPr>
        <w:pStyle w:val="Bullet1"/>
      </w:pPr>
      <w:r w:rsidRPr="00CB7D21">
        <w:t xml:space="preserve">Providing and reinforcing public health messaging in high-risk settings and at the local community level or supporting other agencies to do so, including vaccination support. </w:t>
      </w:r>
    </w:p>
    <w:p w14:paraId="6756BF3C" w14:textId="77777777" w:rsidR="00CB7D21" w:rsidRPr="00CB7D21" w:rsidRDefault="00CB7D21" w:rsidP="004C1E48">
      <w:pPr>
        <w:pStyle w:val="Bullet1"/>
        <w:rPr>
          <w:rFonts w:eastAsiaTheme="minorEastAsia"/>
        </w:rPr>
      </w:pPr>
      <w:r w:rsidRPr="00CB7D21">
        <w:t xml:space="preserve">Continue educating residents, staff and proprietors about COVID-19 and how to prevent it harming individuals, families and communities, including vaccination information to support awareness, confidence and readiness. </w:t>
      </w:r>
    </w:p>
    <w:p w14:paraId="05F34401" w14:textId="77777777" w:rsidR="00CB7D21" w:rsidRPr="00CB7D21" w:rsidRDefault="00CB7D21" w:rsidP="004C1E48">
      <w:pPr>
        <w:pStyle w:val="Bullet1"/>
      </w:pPr>
      <w:r w:rsidRPr="00CB7D21">
        <w:t>Supporting residents, staff and proprietors in high-risk settings to understand and implement strategies that reduce risk of COVID-19 infection and transmission and create “COVID safe” environments.</w:t>
      </w:r>
    </w:p>
    <w:p w14:paraId="6084A0B8" w14:textId="77777777" w:rsidR="00CB7D21" w:rsidRPr="00CB7D21" w:rsidRDefault="00CB7D21" w:rsidP="004C1E48">
      <w:pPr>
        <w:pStyle w:val="Bullet1"/>
      </w:pPr>
      <w:r w:rsidRPr="00CB7D21">
        <w:t>Supporting COVID-19 vaccination including proactive engagement, education and promotion.</w:t>
      </w:r>
    </w:p>
    <w:p w14:paraId="5B16A230" w14:textId="77777777" w:rsidR="00CB7D21" w:rsidRPr="00621CAE" w:rsidRDefault="00CB7D21" w:rsidP="000112A3">
      <w:pPr>
        <w:pStyle w:val="Heading3"/>
        <w:spacing w:before="240"/>
      </w:pPr>
      <w:r w:rsidRPr="00621CAE">
        <w:t>Prevention and preparedness activities</w:t>
      </w:r>
    </w:p>
    <w:p w14:paraId="0E58E222" w14:textId="77777777" w:rsidR="00CB7D21" w:rsidRPr="00621CAE" w:rsidRDefault="00CB7D21" w:rsidP="00621CAE">
      <w:pPr>
        <w:pStyle w:val="DHHSbody"/>
      </w:pPr>
      <w:r w:rsidRPr="00621CAE">
        <w:rPr>
          <w:highlight w:val="yellow"/>
        </w:rPr>
        <w:t>The following activities are defined and funded under this pillar:</w:t>
      </w:r>
    </w:p>
    <w:p w14:paraId="02E7EBE7" w14:textId="77777777" w:rsidR="00CB7D21" w:rsidRPr="00CB7D21" w:rsidRDefault="00CB7D21" w:rsidP="004C1E48">
      <w:pPr>
        <w:pStyle w:val="Bullet1"/>
        <w:rPr>
          <w:highlight w:val="yellow"/>
        </w:rPr>
      </w:pPr>
      <w:r w:rsidRPr="00CB7D21">
        <w:rPr>
          <w:highlight w:val="yellow"/>
        </w:rPr>
        <w:t>Monitor ongoing awareness of COVID risks and readiness to respond if needed, including any new COVID-19 variants</w:t>
      </w:r>
    </w:p>
    <w:p w14:paraId="16519D37" w14:textId="77777777" w:rsidR="00CB7D21" w:rsidRPr="00CB7D21" w:rsidRDefault="00CB7D21" w:rsidP="004C1E48">
      <w:pPr>
        <w:pStyle w:val="Bullet1"/>
        <w:rPr>
          <w:highlight w:val="yellow"/>
        </w:rPr>
      </w:pPr>
      <w:r w:rsidRPr="00CB7D21">
        <w:rPr>
          <w:highlight w:val="yellow"/>
        </w:rPr>
        <w:t>Evolving the health concierge program in any high-rise tower in response to the changing residents/cohort needs and re-focussing effort to supporting sustainable linkages into broader support services. See Active Linkages for more information.</w:t>
      </w:r>
    </w:p>
    <w:p w14:paraId="54090579" w14:textId="77777777" w:rsidR="00CB7D21" w:rsidRPr="00CB7D21" w:rsidRDefault="00CB7D21" w:rsidP="004C1E48">
      <w:pPr>
        <w:pStyle w:val="Bullet1"/>
        <w:rPr>
          <w:highlight w:val="yellow"/>
        </w:rPr>
      </w:pPr>
      <w:r w:rsidRPr="00CB7D21">
        <w:rPr>
          <w:highlight w:val="yellow"/>
        </w:rPr>
        <w:t>Additional surveillance testing as directed by the DFFH HRAR Divisional teams</w:t>
      </w:r>
    </w:p>
    <w:p w14:paraId="7923D02A" w14:textId="77777777" w:rsidR="00CB7D21" w:rsidRPr="00621CAE" w:rsidRDefault="00CB7D21" w:rsidP="00621CAE">
      <w:pPr>
        <w:pStyle w:val="DHHSbodyafterbullets"/>
      </w:pPr>
      <w:r w:rsidRPr="00621CAE">
        <w:t xml:space="preserve">As per the tier-based operating model, approaches to settings will vary according to risk characteristics, whether settings are staffed, and, most importantly, willingness to accept the support offered. Building on what has been learnt and focussing on the unique and unmet needs of each setting will increase the effectiveness of activities. </w:t>
      </w:r>
    </w:p>
    <w:p w14:paraId="6DF5D9F6" w14:textId="77777777" w:rsidR="00CB7D21" w:rsidRPr="00621CAE" w:rsidRDefault="00CB7D21" w:rsidP="00621CAE">
      <w:pPr>
        <w:pStyle w:val="DHHSbody"/>
      </w:pPr>
      <w:r w:rsidRPr="00621CAE">
        <w:t xml:space="preserve">Where large organisations are either the proprietor or landlord of multiple properties across several catchments, engagement at that level will be coordinated by RREM. RREM, via HRAR Division Directors will pass on to relevant Lead Providers the activities to be undertaken and task schedule. </w:t>
      </w:r>
    </w:p>
    <w:p w14:paraId="0BB79234" w14:textId="77777777" w:rsidR="00CB7D21" w:rsidRPr="00621CAE" w:rsidRDefault="00CB7D21" w:rsidP="00621CAE">
      <w:pPr>
        <w:pStyle w:val="DHHSbody"/>
      </w:pPr>
      <w:r w:rsidRPr="00621CAE">
        <w:t>Lead providers will maximise existing linkages between health services, community resources and the various settings, including but not limited to: Area-based Public Housing Teams, the local Disability Liaison Officer, the Community Capacity Building Initiative, Local Government and Public Health Units. In the disability context, facilitating a partnership approach when undertaking prevention and preparedness activities will continue to be important.</w:t>
      </w:r>
    </w:p>
    <w:p w14:paraId="1C7094A8" w14:textId="77777777" w:rsidR="00CB7D21" w:rsidRPr="00621CAE" w:rsidRDefault="00CB7D21" w:rsidP="00621CAE">
      <w:pPr>
        <w:pStyle w:val="DHHSbody"/>
      </w:pPr>
      <w:r w:rsidRPr="00621CAE">
        <w:t>All parties must ensure that prevention and preparedness assessment/implementation of strategies is conducted with respect to human rights, the privacy of residents and tenants and relevant legislation.</w:t>
      </w:r>
    </w:p>
    <w:p w14:paraId="2603BA9D" w14:textId="77777777" w:rsidR="00CB7D21" w:rsidRPr="00621CAE" w:rsidRDefault="00CB7D21" w:rsidP="00621CAE">
      <w:pPr>
        <w:pStyle w:val="DHHSbody"/>
      </w:pPr>
      <w:r w:rsidRPr="00621CAE">
        <w:rPr>
          <w:highlight w:val="yellow"/>
        </w:rPr>
        <w:t>Residents are moving more freely through daily life and may have different patterns of movement. Lead Providers are encouraged to be innovative in their service offerings and availability to continue to maximise connection with the broad base of residents.</w:t>
      </w:r>
      <w:r w:rsidRPr="00621CAE">
        <w:t xml:space="preserve">  </w:t>
      </w:r>
    </w:p>
    <w:p w14:paraId="781ADABF" w14:textId="77777777" w:rsidR="00CB7D21" w:rsidRPr="00621CAE" w:rsidRDefault="00CB7D21" w:rsidP="00621CAE">
      <w:pPr>
        <w:pStyle w:val="Heading3"/>
      </w:pPr>
      <w:r w:rsidRPr="00621CAE">
        <w:lastRenderedPageBreak/>
        <w:t>Vaccination support</w:t>
      </w:r>
    </w:p>
    <w:p w14:paraId="3946B6B1" w14:textId="77777777" w:rsidR="00CB7D21" w:rsidRPr="00621CAE" w:rsidRDefault="00CB7D21" w:rsidP="00621CAE">
      <w:pPr>
        <w:pStyle w:val="DHHSbody"/>
      </w:pPr>
      <w:r w:rsidRPr="00621CAE">
        <w:t xml:space="preserve">There remain three distinct areas of vaccination support. The examples provided are indicative only; the outcome Lead Providers are to strive for is vaccination </w:t>
      </w:r>
      <w:r w:rsidRPr="00621CAE">
        <w:rPr>
          <w:highlight w:val="yellow"/>
        </w:rPr>
        <w:t>and boosters</w:t>
      </w:r>
      <w:r w:rsidRPr="00621CAE">
        <w:t xml:space="preserve"> of those in the HRAR Extension cohort. Lead Providers to continue to use creative ways to provide vaccination support listed below:</w:t>
      </w:r>
    </w:p>
    <w:p w14:paraId="68DB6DF4" w14:textId="77777777" w:rsidR="00CB7D21" w:rsidRPr="00CB7D21" w:rsidRDefault="00CB7D21" w:rsidP="002853C2">
      <w:pPr>
        <w:pStyle w:val="Bullet1"/>
        <w:numPr>
          <w:ilvl w:val="0"/>
          <w:numId w:val="22"/>
        </w:numPr>
      </w:pPr>
      <w:r w:rsidRPr="00CB7D21">
        <w:t xml:space="preserve">the provision of accurate, timely, culturally appropriate and up to date information about vaccination and the vaccination program </w:t>
      </w:r>
      <w:r w:rsidRPr="00CB7D21">
        <w:rPr>
          <w:highlight w:val="yellow"/>
        </w:rPr>
        <w:t>including boosters</w:t>
      </w:r>
    </w:p>
    <w:p w14:paraId="451618AF" w14:textId="77777777" w:rsidR="00CB7D21" w:rsidRPr="00CB7D21" w:rsidRDefault="00CB7D21" w:rsidP="002853C2">
      <w:pPr>
        <w:pStyle w:val="Bullet1"/>
        <w:numPr>
          <w:ilvl w:val="0"/>
          <w:numId w:val="22"/>
        </w:numPr>
      </w:pPr>
      <w:r w:rsidRPr="00CB7D21">
        <w:t>continue the promotion of vaccination. This may include supporting the resident to visit their GP for a consultation about their suitability for the vaccine or simply ensuring that the resident is ready, willing and able (has a viable plan) to attend their vaccination appointment</w:t>
      </w:r>
    </w:p>
    <w:p w14:paraId="3C4B2682" w14:textId="7459EC21" w:rsidR="00CB7D21" w:rsidRDefault="00CB7D21" w:rsidP="002853C2">
      <w:pPr>
        <w:pStyle w:val="Bullet1"/>
        <w:numPr>
          <w:ilvl w:val="0"/>
          <w:numId w:val="22"/>
        </w:numPr>
      </w:pPr>
      <w:r w:rsidRPr="00CB7D21">
        <w:t xml:space="preserve">accessing vaccination. Services in this area could range from hiring a bus and transporting groups of residents to a vaccination centre, facilitating appointment-based vaccinations in some settings, or supporting them to make an appointment for vaccination that they will attend independently. </w:t>
      </w:r>
    </w:p>
    <w:p w14:paraId="38C495D7" w14:textId="2528EC71" w:rsidR="00B50188" w:rsidRDefault="00B50188" w:rsidP="00B50188">
      <w:pPr>
        <w:pStyle w:val="DHHStablecaption"/>
      </w:pPr>
      <w:r w:rsidRPr="00CF2561">
        <w:rPr>
          <w:highlight w:val="yellow"/>
        </w:rPr>
        <w:t>Key Outputs: Prevention and Preparedness</w:t>
      </w: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45" w:type="dxa"/>
          <w:bottom w:w="28" w:type="dxa"/>
          <w:right w:w="45" w:type="dxa"/>
        </w:tblCellMar>
        <w:tblLook w:val="04A0" w:firstRow="1" w:lastRow="0" w:firstColumn="1" w:lastColumn="0" w:noHBand="0" w:noVBand="1"/>
        <w:tblCaption w:val="Key Outputs: Prevention and Preparedness"/>
        <w:tblDescription w:val="Key activities; Trigger and timing; Led by; Role of Lead Provider"/>
      </w:tblPr>
      <w:tblGrid>
        <w:gridCol w:w="6211"/>
        <w:gridCol w:w="1276"/>
        <w:gridCol w:w="1165"/>
        <w:gridCol w:w="1581"/>
      </w:tblGrid>
      <w:tr w:rsidR="00CB7D21" w:rsidRPr="009910EF" w14:paraId="1C956C91" w14:textId="77777777" w:rsidTr="00717ED8">
        <w:trPr>
          <w:trHeight w:val="48"/>
          <w:tblHeader/>
        </w:trPr>
        <w:tc>
          <w:tcPr>
            <w:tcW w:w="6211" w:type="dxa"/>
            <w:shd w:val="clear" w:color="auto" w:fill="auto"/>
            <w:hideMark/>
          </w:tcPr>
          <w:p w14:paraId="3AA8749B" w14:textId="77777777" w:rsidR="00CB7D21" w:rsidRPr="00B50188" w:rsidRDefault="00CB7D21" w:rsidP="005325AE">
            <w:pPr>
              <w:pStyle w:val="DHHStablecolhead"/>
              <w:rPr>
                <w:highlight w:val="yellow"/>
              </w:rPr>
            </w:pPr>
            <w:r w:rsidRPr="00B50188">
              <w:rPr>
                <w:highlight w:val="yellow"/>
              </w:rPr>
              <w:t>Key activities</w:t>
            </w:r>
          </w:p>
        </w:tc>
        <w:tc>
          <w:tcPr>
            <w:tcW w:w="1276" w:type="dxa"/>
            <w:shd w:val="clear" w:color="auto" w:fill="auto"/>
            <w:tcMar>
              <w:top w:w="80" w:type="dxa"/>
              <w:left w:w="80" w:type="dxa"/>
              <w:bottom w:w="80" w:type="dxa"/>
              <w:right w:w="80" w:type="dxa"/>
            </w:tcMar>
            <w:hideMark/>
          </w:tcPr>
          <w:p w14:paraId="6B8E2F74" w14:textId="5F796EA5" w:rsidR="00CB7D21" w:rsidRPr="00B50188" w:rsidRDefault="00CB7D21" w:rsidP="005325AE">
            <w:pPr>
              <w:pStyle w:val="DHHStablecolhead"/>
              <w:rPr>
                <w:highlight w:val="yellow"/>
              </w:rPr>
            </w:pPr>
            <w:r w:rsidRPr="00B50188">
              <w:rPr>
                <w:highlight w:val="yellow"/>
              </w:rPr>
              <w:t>Trigger</w:t>
            </w:r>
            <w:r w:rsidR="00B50188" w:rsidRPr="00B50188">
              <w:rPr>
                <w:highlight w:val="yellow"/>
              </w:rPr>
              <w:t xml:space="preserve"> </w:t>
            </w:r>
            <w:r w:rsidRPr="00B50188">
              <w:rPr>
                <w:highlight w:val="yellow"/>
              </w:rPr>
              <w:t>and timing </w:t>
            </w:r>
          </w:p>
        </w:tc>
        <w:tc>
          <w:tcPr>
            <w:tcW w:w="1165" w:type="dxa"/>
            <w:shd w:val="clear" w:color="auto" w:fill="auto"/>
          </w:tcPr>
          <w:p w14:paraId="48BF6A7A" w14:textId="77777777" w:rsidR="00CB7D21" w:rsidRPr="00B50188" w:rsidRDefault="00CB7D21" w:rsidP="005325AE">
            <w:pPr>
              <w:pStyle w:val="DHHStablecolhead"/>
              <w:rPr>
                <w:highlight w:val="yellow"/>
              </w:rPr>
            </w:pPr>
            <w:r w:rsidRPr="00B50188">
              <w:rPr>
                <w:highlight w:val="yellow"/>
              </w:rPr>
              <w:t>Led by </w:t>
            </w:r>
          </w:p>
        </w:tc>
        <w:tc>
          <w:tcPr>
            <w:tcW w:w="1581" w:type="dxa"/>
            <w:shd w:val="clear" w:color="auto" w:fill="auto"/>
          </w:tcPr>
          <w:p w14:paraId="7264B58A" w14:textId="77777777" w:rsidR="00CB7D21" w:rsidRPr="00B50188" w:rsidRDefault="00CB7D21" w:rsidP="005325AE">
            <w:pPr>
              <w:pStyle w:val="DHHStablecolhead"/>
              <w:rPr>
                <w:highlight w:val="yellow"/>
              </w:rPr>
            </w:pPr>
            <w:r w:rsidRPr="00B50188">
              <w:rPr>
                <w:highlight w:val="yellow"/>
              </w:rPr>
              <w:t>Role of Lead Provider </w:t>
            </w:r>
          </w:p>
        </w:tc>
      </w:tr>
      <w:tr w:rsidR="00CB7D21" w:rsidRPr="009910EF" w14:paraId="718E9E0D" w14:textId="77777777" w:rsidTr="00717ED8">
        <w:trPr>
          <w:trHeight w:val="1613"/>
        </w:trPr>
        <w:tc>
          <w:tcPr>
            <w:tcW w:w="6211" w:type="dxa"/>
            <w:hideMark/>
          </w:tcPr>
          <w:p w14:paraId="2B72ACDA" w14:textId="77777777" w:rsidR="00CB7D21" w:rsidRPr="00CF2561" w:rsidRDefault="00CB7D21" w:rsidP="00CF2561">
            <w:pPr>
              <w:pStyle w:val="DHHStabletext"/>
              <w:rPr>
                <w:rStyle w:val="Strong"/>
                <w:highlight w:val="yellow"/>
              </w:rPr>
            </w:pPr>
            <w:r w:rsidRPr="00CF2561">
              <w:rPr>
                <w:rStyle w:val="Strong"/>
                <w:highlight w:val="yellow"/>
              </w:rPr>
              <w:t>Monitor ongoing awareness of COVID and readiness to respond if needed</w:t>
            </w:r>
          </w:p>
          <w:p w14:paraId="695DE72F" w14:textId="77777777" w:rsidR="00CB7D21" w:rsidRPr="00CF2561" w:rsidRDefault="00CB7D21" w:rsidP="004C1E48">
            <w:pPr>
              <w:pStyle w:val="Bullet1"/>
              <w:rPr>
                <w:highlight w:val="yellow"/>
              </w:rPr>
            </w:pPr>
            <w:r w:rsidRPr="00CF2561">
              <w:rPr>
                <w:highlight w:val="yellow"/>
              </w:rPr>
              <w:t>Ensure in scope proprietors/landlords and residents have clear information on COVID status and access to vaccinations and boosters.</w:t>
            </w:r>
          </w:p>
          <w:p w14:paraId="4D394DA9" w14:textId="3318E04E" w:rsidR="00CB7D21" w:rsidRPr="00CF2561" w:rsidRDefault="00CB7D21" w:rsidP="004C1E48">
            <w:pPr>
              <w:pStyle w:val="Bullet1"/>
              <w:rPr>
                <w:highlight w:val="yellow"/>
              </w:rPr>
            </w:pPr>
            <w:r w:rsidRPr="00CF2561">
              <w:rPr>
                <w:highlight w:val="yellow"/>
              </w:rPr>
              <w:t xml:space="preserve">Ensure in scope proprietors/landlords and residents have clear understanding of the isolation requirements as directed by the Department of Health </w:t>
            </w:r>
          </w:p>
        </w:tc>
        <w:tc>
          <w:tcPr>
            <w:tcW w:w="1276" w:type="dxa"/>
            <w:tcMar>
              <w:top w:w="80" w:type="dxa"/>
              <w:left w:w="80" w:type="dxa"/>
              <w:bottom w:w="80" w:type="dxa"/>
              <w:right w:w="80" w:type="dxa"/>
            </w:tcMar>
            <w:hideMark/>
          </w:tcPr>
          <w:p w14:paraId="5D735B9D" w14:textId="5C61DC50" w:rsidR="00CB7D21" w:rsidRPr="00B50188" w:rsidRDefault="00CB7D21" w:rsidP="00B50188">
            <w:pPr>
              <w:pStyle w:val="DHHStabletext"/>
            </w:pPr>
            <w:r w:rsidRPr="00B50188">
              <w:rPr>
                <w:highlight w:val="yellow"/>
              </w:rPr>
              <w:t>Core business</w:t>
            </w:r>
          </w:p>
        </w:tc>
        <w:tc>
          <w:tcPr>
            <w:tcW w:w="1165" w:type="dxa"/>
          </w:tcPr>
          <w:p w14:paraId="2D8E7CD7" w14:textId="77777777" w:rsidR="00CB7D21" w:rsidRPr="00B50188" w:rsidRDefault="00CB7D21" w:rsidP="00B50188">
            <w:pPr>
              <w:pStyle w:val="DHHStabletext"/>
            </w:pPr>
            <w:r w:rsidRPr="00B50188">
              <w:rPr>
                <w:highlight w:val="yellow"/>
              </w:rPr>
              <w:t>Lead Provider</w:t>
            </w:r>
          </w:p>
        </w:tc>
        <w:tc>
          <w:tcPr>
            <w:tcW w:w="1581" w:type="dxa"/>
          </w:tcPr>
          <w:p w14:paraId="20F852D6" w14:textId="314DC9F2" w:rsidR="00CB7D21" w:rsidRPr="00B50188" w:rsidRDefault="00CB7D21" w:rsidP="00B50188">
            <w:pPr>
              <w:pStyle w:val="DHHStabletext"/>
            </w:pPr>
            <w:r w:rsidRPr="00B50188">
              <w:rPr>
                <w:highlight w:val="yellow"/>
              </w:rPr>
              <w:t>Facilitate information</w:t>
            </w:r>
          </w:p>
        </w:tc>
      </w:tr>
      <w:tr w:rsidR="00CB7D21" w:rsidRPr="009910EF" w14:paraId="3EB12B11" w14:textId="77777777" w:rsidTr="00717ED8">
        <w:tc>
          <w:tcPr>
            <w:tcW w:w="6211" w:type="dxa"/>
          </w:tcPr>
          <w:p w14:paraId="5C781279" w14:textId="77777777" w:rsidR="00CB7D21" w:rsidRPr="00CF2561" w:rsidRDefault="00CB7D21" w:rsidP="00CF2561">
            <w:pPr>
              <w:pStyle w:val="DHHStabletext"/>
              <w:rPr>
                <w:rStyle w:val="Strong"/>
              </w:rPr>
            </w:pPr>
            <w:r w:rsidRPr="00CF2561">
              <w:rPr>
                <w:rStyle w:val="Strong"/>
              </w:rPr>
              <w:t xml:space="preserve">Community engagement and education strategies that support prevention and preparedness </w:t>
            </w:r>
          </w:p>
          <w:p w14:paraId="0569911D" w14:textId="77777777" w:rsidR="00CF2561" w:rsidRPr="00CB7D21" w:rsidRDefault="00CF2561" w:rsidP="004C1E48">
            <w:pPr>
              <w:pStyle w:val="Bullet1"/>
              <w:rPr>
                <w:lang w:eastAsia="en-AU"/>
              </w:rPr>
            </w:pPr>
            <w:r w:rsidRPr="00CB7D21">
              <w:rPr>
                <w:lang w:eastAsia="en-AU"/>
              </w:rPr>
              <w:t>Ensure proprietors/landlords and residents have clear information on COVID-safe requirements.</w:t>
            </w:r>
          </w:p>
          <w:p w14:paraId="3DF0C141" w14:textId="77777777" w:rsidR="00CF2561" w:rsidRPr="00CB7D21" w:rsidRDefault="00CF2561" w:rsidP="004C1E48">
            <w:pPr>
              <w:pStyle w:val="Bullet1"/>
              <w:rPr>
                <w:lang w:eastAsia="en-AU"/>
              </w:rPr>
            </w:pPr>
            <w:r w:rsidRPr="00CB7D21">
              <w:rPr>
                <w:lang w:eastAsia="en-AU"/>
              </w:rPr>
              <w:t>Provision of appropriate infection control training and/or guidance and support to follow public health directions and implement COVID-safe strategies. May include hosting community events and forums.</w:t>
            </w:r>
          </w:p>
          <w:p w14:paraId="5832AB89" w14:textId="77777777" w:rsidR="00CF2561" w:rsidRPr="00CB7D21" w:rsidRDefault="00CF2561" w:rsidP="004C1E48">
            <w:pPr>
              <w:pStyle w:val="Bullet1"/>
              <w:rPr>
                <w:lang w:eastAsia="en-AU"/>
              </w:rPr>
            </w:pPr>
            <w:r w:rsidRPr="00CB7D21">
              <w:rPr>
                <w:lang w:eastAsia="en-AU"/>
              </w:rPr>
              <w:t>Communication with residents supported by staff and service providers where available.</w:t>
            </w:r>
          </w:p>
          <w:p w14:paraId="07524F6A" w14:textId="2AEB8734" w:rsidR="00CF2561" w:rsidRPr="00CB7D21" w:rsidRDefault="00CF2561" w:rsidP="004C1E48">
            <w:pPr>
              <w:pStyle w:val="Bullet1"/>
              <w:rPr>
                <w:b/>
                <w:bCs/>
                <w:lang w:eastAsia="en-AU"/>
              </w:rPr>
            </w:pPr>
            <w:r w:rsidRPr="00CB7D21">
              <w:rPr>
                <w:lang w:eastAsia="en-AU"/>
              </w:rPr>
              <w:t>Strategies delivered in easy read English and diverse languages as required.</w:t>
            </w:r>
          </w:p>
        </w:tc>
        <w:tc>
          <w:tcPr>
            <w:tcW w:w="1276" w:type="dxa"/>
            <w:tcMar>
              <w:top w:w="80" w:type="dxa"/>
              <w:left w:w="80" w:type="dxa"/>
              <w:bottom w:w="80" w:type="dxa"/>
              <w:right w:w="80" w:type="dxa"/>
            </w:tcMar>
          </w:tcPr>
          <w:p w14:paraId="7BBD3E31" w14:textId="34211A88" w:rsidR="00CB7D21" w:rsidRPr="00B50188" w:rsidRDefault="00CF2561" w:rsidP="00B50188">
            <w:pPr>
              <w:pStyle w:val="DHHStabletext"/>
            </w:pPr>
            <w:r w:rsidRPr="00B50188">
              <w:rPr>
                <w:highlight w:val="yellow"/>
              </w:rPr>
              <w:t>Ongoing</w:t>
            </w:r>
          </w:p>
        </w:tc>
        <w:tc>
          <w:tcPr>
            <w:tcW w:w="1165" w:type="dxa"/>
          </w:tcPr>
          <w:p w14:paraId="2607CFD8" w14:textId="1AD8249E" w:rsidR="00CB7D21" w:rsidRPr="00B50188" w:rsidRDefault="00CF2561" w:rsidP="00B50188">
            <w:pPr>
              <w:pStyle w:val="DHHStabletext"/>
            </w:pPr>
            <w:r w:rsidRPr="00B50188">
              <w:t>Lead Provider</w:t>
            </w:r>
          </w:p>
        </w:tc>
        <w:tc>
          <w:tcPr>
            <w:tcW w:w="1581" w:type="dxa"/>
          </w:tcPr>
          <w:p w14:paraId="14BD56A1" w14:textId="75F802E7" w:rsidR="00CB7D21" w:rsidRPr="00B50188" w:rsidRDefault="00CF2561" w:rsidP="00B50188">
            <w:pPr>
              <w:pStyle w:val="DHHStabletext"/>
            </w:pPr>
            <w:r w:rsidRPr="00B50188">
              <w:t>Documentation</w:t>
            </w:r>
          </w:p>
        </w:tc>
      </w:tr>
      <w:tr w:rsidR="00CB7D21" w:rsidRPr="009910EF" w14:paraId="56A1B7DC" w14:textId="77777777" w:rsidTr="00717ED8">
        <w:tc>
          <w:tcPr>
            <w:tcW w:w="6211" w:type="dxa"/>
          </w:tcPr>
          <w:p w14:paraId="64687A2B" w14:textId="77777777" w:rsidR="00CB7D21" w:rsidRPr="00CF2561" w:rsidRDefault="00CB7D21" w:rsidP="00CF2561">
            <w:pPr>
              <w:pStyle w:val="DHHStabletext"/>
              <w:rPr>
                <w:rStyle w:val="Strong"/>
              </w:rPr>
            </w:pPr>
            <w:r w:rsidRPr="00CF2561">
              <w:rPr>
                <w:rStyle w:val="Strong"/>
              </w:rPr>
              <w:t xml:space="preserve">Health Concierge </w:t>
            </w:r>
          </w:p>
          <w:p w14:paraId="241D03EB" w14:textId="1723B5BD" w:rsidR="00CF2561" w:rsidRPr="00CF2561" w:rsidRDefault="00CF2561" w:rsidP="004C1E48">
            <w:pPr>
              <w:pStyle w:val="Bullet1"/>
            </w:pPr>
            <w:r w:rsidRPr="00CF2561">
              <w:t xml:space="preserve">Health concierge/information services are established in high risk public housing settings to ensure appropriate and sustainable public health measures and adequate service supports and community engagement strategies are in place </w:t>
            </w:r>
            <w:r w:rsidRPr="00CF2561">
              <w:rPr>
                <w:highlight w:val="yellow"/>
              </w:rPr>
              <w:t>and that these services are flexible to meet the movement and availability of residents</w:t>
            </w:r>
            <w:r w:rsidRPr="00CF2561">
              <w:rPr>
                <w:rStyle w:val="FootnoteReference"/>
                <w:vertAlign w:val="baseline"/>
              </w:rPr>
              <w:t xml:space="preserve"> </w:t>
            </w:r>
            <w:r w:rsidRPr="00CF2561">
              <w:rPr>
                <w:rStyle w:val="FootnoteReference"/>
                <w:vertAlign w:val="baseline"/>
              </w:rPr>
              <w:footnoteReference w:id="1"/>
            </w:r>
            <w:r w:rsidRPr="00CF2561">
              <w:t>.</w:t>
            </w:r>
          </w:p>
        </w:tc>
        <w:tc>
          <w:tcPr>
            <w:tcW w:w="1276" w:type="dxa"/>
            <w:tcMar>
              <w:top w:w="80" w:type="dxa"/>
              <w:left w:w="80" w:type="dxa"/>
              <w:bottom w:w="80" w:type="dxa"/>
              <w:right w:w="80" w:type="dxa"/>
            </w:tcMar>
          </w:tcPr>
          <w:p w14:paraId="082C1D93" w14:textId="3B8CC033" w:rsidR="00CB7D21" w:rsidRPr="00B50188" w:rsidRDefault="00CF2561" w:rsidP="00B50188">
            <w:pPr>
              <w:pStyle w:val="DHHStabletext"/>
            </w:pPr>
            <w:r w:rsidRPr="00B50188">
              <w:t>Ongoing</w:t>
            </w:r>
          </w:p>
        </w:tc>
        <w:tc>
          <w:tcPr>
            <w:tcW w:w="1165" w:type="dxa"/>
          </w:tcPr>
          <w:p w14:paraId="1F7743A8" w14:textId="4244C569" w:rsidR="00CB7D21" w:rsidRPr="00B50188" w:rsidRDefault="00CF2561" w:rsidP="00B50188">
            <w:pPr>
              <w:pStyle w:val="DHHStabletext"/>
            </w:pPr>
            <w:r w:rsidRPr="00B50188">
              <w:t>Lead Provider or during vaccination DH / C19</w:t>
            </w:r>
          </w:p>
        </w:tc>
        <w:tc>
          <w:tcPr>
            <w:tcW w:w="1581" w:type="dxa"/>
          </w:tcPr>
          <w:p w14:paraId="3D6B40CC" w14:textId="0C8847DA" w:rsidR="00CB7D21" w:rsidRPr="00B50188" w:rsidRDefault="00CF2561" w:rsidP="00B50188">
            <w:pPr>
              <w:pStyle w:val="DHHStabletext"/>
            </w:pPr>
            <w:r w:rsidRPr="00B50188">
              <w:t>Provision of information and support to residents</w:t>
            </w:r>
          </w:p>
        </w:tc>
      </w:tr>
      <w:tr w:rsidR="00CB7D21" w:rsidRPr="009910EF" w14:paraId="1223484C" w14:textId="77777777" w:rsidTr="00717ED8">
        <w:tc>
          <w:tcPr>
            <w:tcW w:w="6211" w:type="dxa"/>
          </w:tcPr>
          <w:p w14:paraId="73A78F08" w14:textId="77777777" w:rsidR="00CB7D21" w:rsidRDefault="00CB7D21" w:rsidP="00CF2561">
            <w:pPr>
              <w:pStyle w:val="DHHStabletext"/>
              <w:rPr>
                <w:rStyle w:val="Strong"/>
              </w:rPr>
            </w:pPr>
            <w:r w:rsidRPr="00CF2561">
              <w:rPr>
                <w:rStyle w:val="Strong"/>
              </w:rPr>
              <w:t>Vaccination support</w:t>
            </w:r>
          </w:p>
          <w:p w14:paraId="7E271446" w14:textId="77777777" w:rsidR="00CF2561" w:rsidRPr="00CF2561" w:rsidRDefault="00CF2561" w:rsidP="00CF2561">
            <w:pPr>
              <w:pStyle w:val="DHHStabletext"/>
            </w:pPr>
            <w:r w:rsidRPr="00CF2561">
              <w:t xml:space="preserve">Continue to promote uptake of vaccination program </w:t>
            </w:r>
            <w:r w:rsidRPr="00CF2561">
              <w:rPr>
                <w:highlight w:val="yellow"/>
              </w:rPr>
              <w:t>including boosters</w:t>
            </w:r>
            <w:r w:rsidRPr="00CF2561">
              <w:t xml:space="preserve"> by:</w:t>
            </w:r>
          </w:p>
          <w:p w14:paraId="3C41B0B3" w14:textId="77777777" w:rsidR="00CF2561" w:rsidRPr="00CF2561" w:rsidRDefault="00CF2561" w:rsidP="004C1E48">
            <w:pPr>
              <w:pStyle w:val="Bullet1"/>
            </w:pPr>
            <w:r w:rsidRPr="00CF2561">
              <w:t>Provision of factual, culturally appropriate and current information,</w:t>
            </w:r>
          </w:p>
          <w:p w14:paraId="3F2492D4" w14:textId="77777777" w:rsidR="00CF2561" w:rsidRPr="00CF2561" w:rsidRDefault="00CF2561" w:rsidP="004C1E48">
            <w:pPr>
              <w:pStyle w:val="Bullet1"/>
            </w:pPr>
            <w:r w:rsidRPr="00CF2561">
              <w:lastRenderedPageBreak/>
              <w:t>Promotion and encouragement of vaccine uptake,</w:t>
            </w:r>
          </w:p>
          <w:p w14:paraId="687A5B46" w14:textId="792193A6" w:rsidR="00CF2561" w:rsidRPr="00CF2561" w:rsidRDefault="00CF2561" w:rsidP="00CF2561">
            <w:pPr>
              <w:pStyle w:val="DHHStabletext"/>
              <w:rPr>
                <w:rStyle w:val="Strong"/>
              </w:rPr>
            </w:pPr>
            <w:r w:rsidRPr="00CF2561">
              <w:t>Facilitating vaccine access (e.g. organise transport).</w:t>
            </w:r>
          </w:p>
        </w:tc>
        <w:tc>
          <w:tcPr>
            <w:tcW w:w="1276" w:type="dxa"/>
            <w:tcMar>
              <w:top w:w="80" w:type="dxa"/>
              <w:left w:w="80" w:type="dxa"/>
              <w:bottom w:w="80" w:type="dxa"/>
              <w:right w:w="80" w:type="dxa"/>
            </w:tcMar>
          </w:tcPr>
          <w:p w14:paraId="390C7FE5" w14:textId="3B179AF5" w:rsidR="00CB7D21" w:rsidRPr="00B50188" w:rsidRDefault="00CF2561" w:rsidP="00B50188">
            <w:pPr>
              <w:pStyle w:val="DHHStabletext"/>
            </w:pPr>
            <w:r w:rsidRPr="00B50188">
              <w:lastRenderedPageBreak/>
              <w:t>Pre vaccination availability</w:t>
            </w:r>
          </w:p>
        </w:tc>
        <w:tc>
          <w:tcPr>
            <w:tcW w:w="1165" w:type="dxa"/>
          </w:tcPr>
          <w:p w14:paraId="6BF00995" w14:textId="77777777" w:rsidR="00E40AC4" w:rsidRDefault="00CF2561" w:rsidP="00B50188">
            <w:pPr>
              <w:pStyle w:val="DHHStabletext"/>
            </w:pPr>
            <w:r w:rsidRPr="00B50188">
              <w:t>DH / C19</w:t>
            </w:r>
          </w:p>
          <w:p w14:paraId="2F934A83" w14:textId="0CB3E1F4" w:rsidR="00CB7D21" w:rsidRPr="00B50188" w:rsidRDefault="00CF2561" w:rsidP="00B50188">
            <w:pPr>
              <w:pStyle w:val="DHHStabletext"/>
            </w:pPr>
            <w:r w:rsidRPr="00B50188">
              <w:t xml:space="preserve">RREM central team to </w:t>
            </w:r>
            <w:r w:rsidRPr="00B50188">
              <w:lastRenderedPageBreak/>
              <w:t>provide comms</w:t>
            </w:r>
          </w:p>
        </w:tc>
        <w:tc>
          <w:tcPr>
            <w:tcW w:w="1581" w:type="dxa"/>
          </w:tcPr>
          <w:p w14:paraId="409E40A8" w14:textId="594BEBA9" w:rsidR="00CB7D21" w:rsidRPr="00B50188" w:rsidRDefault="00CF2561" w:rsidP="00B50188">
            <w:pPr>
              <w:pStyle w:val="DHHStabletext"/>
            </w:pPr>
            <w:r w:rsidRPr="00B50188">
              <w:lastRenderedPageBreak/>
              <w:t>Supporting the residents to get vaccinated</w:t>
            </w:r>
          </w:p>
        </w:tc>
      </w:tr>
      <w:tr w:rsidR="00CB7D21" w:rsidRPr="009910EF" w14:paraId="0864CDC8" w14:textId="77777777" w:rsidTr="00717ED8">
        <w:tc>
          <w:tcPr>
            <w:tcW w:w="6211" w:type="dxa"/>
          </w:tcPr>
          <w:p w14:paraId="49C4503F" w14:textId="77777777" w:rsidR="00CB7D21" w:rsidRPr="00C42F9E" w:rsidRDefault="00CB7D21" w:rsidP="00C42F9E">
            <w:pPr>
              <w:pStyle w:val="DHHStabletext"/>
              <w:rPr>
                <w:rStyle w:val="Strong"/>
                <w:highlight w:val="yellow"/>
              </w:rPr>
            </w:pPr>
            <w:r w:rsidRPr="00C42F9E">
              <w:rPr>
                <w:rStyle w:val="Strong"/>
                <w:highlight w:val="yellow"/>
              </w:rPr>
              <w:t xml:space="preserve">Supporting residents to test </w:t>
            </w:r>
          </w:p>
          <w:p w14:paraId="15E398FC" w14:textId="4BC2A9EE" w:rsidR="00C42F9E" w:rsidRPr="00C42F9E" w:rsidRDefault="00C42F9E" w:rsidP="004C1E48">
            <w:pPr>
              <w:pStyle w:val="Bullet1"/>
              <w:rPr>
                <w:highlight w:val="yellow"/>
              </w:rPr>
            </w:pPr>
            <w:r w:rsidRPr="00C42F9E">
              <w:rPr>
                <w:highlight w:val="yellow"/>
              </w:rPr>
              <w:t xml:space="preserve">Lead Providers to support residents who may have symptoms of COVID-19 to local testing options or access to the Rapid Antigen Test (RAT).  </w:t>
            </w:r>
          </w:p>
        </w:tc>
        <w:tc>
          <w:tcPr>
            <w:tcW w:w="1276" w:type="dxa"/>
            <w:tcMar>
              <w:top w:w="80" w:type="dxa"/>
              <w:left w:w="80" w:type="dxa"/>
              <w:bottom w:w="80" w:type="dxa"/>
              <w:right w:w="80" w:type="dxa"/>
            </w:tcMar>
          </w:tcPr>
          <w:p w14:paraId="5770A5CE" w14:textId="74B10097" w:rsidR="00CB7D21" w:rsidRPr="00C42F9E" w:rsidRDefault="00C42F9E" w:rsidP="00C42F9E">
            <w:pPr>
              <w:pStyle w:val="DHHStabletext"/>
            </w:pPr>
            <w:r w:rsidRPr="00C42F9E">
              <w:t>Resident displaying symptoms or advising of possible contact with the virus</w:t>
            </w:r>
          </w:p>
        </w:tc>
        <w:tc>
          <w:tcPr>
            <w:tcW w:w="1165" w:type="dxa"/>
          </w:tcPr>
          <w:p w14:paraId="1795BAC3" w14:textId="142F9635" w:rsidR="00CB7D21" w:rsidRPr="00C42F9E" w:rsidRDefault="00C42F9E" w:rsidP="00C42F9E">
            <w:pPr>
              <w:pStyle w:val="DHHStabletext"/>
            </w:pPr>
            <w:r w:rsidRPr="00C42F9E">
              <w:t>Lead Provider / Resident / Support Staff</w:t>
            </w:r>
          </w:p>
        </w:tc>
        <w:tc>
          <w:tcPr>
            <w:tcW w:w="1581" w:type="dxa"/>
          </w:tcPr>
          <w:p w14:paraId="662A8608" w14:textId="1003967D" w:rsidR="00CB7D21" w:rsidRPr="00C42F9E" w:rsidRDefault="00C42F9E" w:rsidP="00C42F9E">
            <w:pPr>
              <w:pStyle w:val="DHHStabletext"/>
            </w:pPr>
            <w:r w:rsidRPr="00C42F9E">
              <w:t>Facilitate testing and quarantine until test result is known and further if positive</w:t>
            </w:r>
          </w:p>
        </w:tc>
      </w:tr>
      <w:tr w:rsidR="00CB7D21" w:rsidRPr="009910EF" w14:paraId="72706BD2" w14:textId="77777777" w:rsidTr="00717ED8">
        <w:tc>
          <w:tcPr>
            <w:tcW w:w="6211" w:type="dxa"/>
          </w:tcPr>
          <w:p w14:paraId="46B8CCB1" w14:textId="4C7547A5" w:rsidR="00CB7D21" w:rsidRPr="00C42F9E" w:rsidRDefault="00CB7D21" w:rsidP="00C42F9E">
            <w:pPr>
              <w:pStyle w:val="DHHStabletext"/>
              <w:rPr>
                <w:rStyle w:val="Strong"/>
                <w:rFonts w:eastAsia="Arial"/>
                <w:highlight w:val="yellow"/>
              </w:rPr>
            </w:pPr>
            <w:r w:rsidRPr="00C42F9E">
              <w:rPr>
                <w:rStyle w:val="Strong"/>
                <w:rFonts w:eastAsia="Arial"/>
                <w:highlight w:val="yellow"/>
              </w:rPr>
              <w:t>Surveillance testing</w:t>
            </w:r>
          </w:p>
          <w:p w14:paraId="3A917FBD" w14:textId="77777777" w:rsidR="00CB7D21" w:rsidRPr="00C42F9E" w:rsidRDefault="00CB7D21" w:rsidP="004C1E48">
            <w:pPr>
              <w:pStyle w:val="Bullet1"/>
              <w:rPr>
                <w:highlight w:val="yellow"/>
              </w:rPr>
            </w:pPr>
            <w:r w:rsidRPr="00C42F9E">
              <w:rPr>
                <w:highlight w:val="yellow"/>
              </w:rPr>
              <w:t>Stand up of additional surveillance testing as a prevention strategy where required**</w:t>
            </w:r>
          </w:p>
          <w:p w14:paraId="3AC573E4" w14:textId="1B638856" w:rsidR="00CB7D21" w:rsidRPr="00C42F9E" w:rsidRDefault="00CB7D21" w:rsidP="004C1E48">
            <w:pPr>
              <w:pStyle w:val="Bullet1"/>
              <w:rPr>
                <w:highlight w:val="yellow"/>
              </w:rPr>
            </w:pPr>
            <w:r w:rsidRPr="00C42F9E">
              <w:rPr>
                <w:highlight w:val="yellow"/>
              </w:rPr>
              <w:t xml:space="preserve">Support staff and, in specific circumstance residents, in understanding and assisting them with rapid antigen testing </w:t>
            </w:r>
          </w:p>
          <w:p w14:paraId="43FBD21C" w14:textId="77777777" w:rsidR="00CB7D21" w:rsidRPr="00C42F9E" w:rsidRDefault="00CB7D21" w:rsidP="00C42F9E">
            <w:pPr>
              <w:pStyle w:val="DHHStabletext"/>
              <w:rPr>
                <w:highlight w:val="yellow"/>
              </w:rPr>
            </w:pPr>
            <w:r w:rsidRPr="00C42F9E">
              <w:rPr>
                <w:highlight w:val="yellow"/>
              </w:rPr>
              <w:t>** Note: It is acknowledged that not all Lead Providers undertake this activity</w:t>
            </w:r>
          </w:p>
        </w:tc>
        <w:tc>
          <w:tcPr>
            <w:tcW w:w="1276" w:type="dxa"/>
            <w:tcMar>
              <w:top w:w="80" w:type="dxa"/>
              <w:left w:w="80" w:type="dxa"/>
              <w:bottom w:w="80" w:type="dxa"/>
              <w:right w:w="80" w:type="dxa"/>
            </w:tcMar>
          </w:tcPr>
          <w:p w14:paraId="732147BB" w14:textId="77777777" w:rsidR="00CB7D21" w:rsidRPr="00C42F9E" w:rsidRDefault="00CB7D21" w:rsidP="00C42F9E">
            <w:pPr>
              <w:pStyle w:val="DHHStabletext"/>
              <w:rPr>
                <w:highlight w:val="yellow"/>
              </w:rPr>
            </w:pPr>
            <w:r w:rsidRPr="00C42F9E">
              <w:rPr>
                <w:rFonts w:eastAsia="Arial"/>
                <w:highlight w:val="yellow"/>
              </w:rPr>
              <w:t>Provided in response to an identified need</w:t>
            </w:r>
          </w:p>
          <w:p w14:paraId="5EC9BF60" w14:textId="77777777" w:rsidR="00CB7D21" w:rsidRPr="00C42F9E" w:rsidRDefault="00CB7D21" w:rsidP="00C42F9E">
            <w:pPr>
              <w:pStyle w:val="DHHStabletext"/>
              <w:rPr>
                <w:highlight w:val="yellow"/>
              </w:rPr>
            </w:pPr>
          </w:p>
        </w:tc>
        <w:tc>
          <w:tcPr>
            <w:tcW w:w="1165" w:type="dxa"/>
          </w:tcPr>
          <w:p w14:paraId="5E82F502" w14:textId="226309A2" w:rsidR="00CB7D21" w:rsidRPr="00C42F9E" w:rsidRDefault="00CB7D21" w:rsidP="00C42F9E">
            <w:pPr>
              <w:pStyle w:val="DHHStabletext"/>
              <w:rPr>
                <w:highlight w:val="yellow"/>
              </w:rPr>
            </w:pPr>
            <w:r w:rsidRPr="00C42F9E">
              <w:rPr>
                <w:rFonts w:eastAsia="Arial"/>
                <w:highlight w:val="yellow"/>
              </w:rPr>
              <w:t>RREM</w:t>
            </w:r>
          </w:p>
        </w:tc>
        <w:tc>
          <w:tcPr>
            <w:tcW w:w="1581" w:type="dxa"/>
          </w:tcPr>
          <w:p w14:paraId="1403D789" w14:textId="77777777" w:rsidR="00CB7D21" w:rsidRPr="00C42F9E" w:rsidRDefault="00CB7D21" w:rsidP="00C42F9E">
            <w:pPr>
              <w:pStyle w:val="DHHStabletext"/>
              <w:rPr>
                <w:highlight w:val="yellow"/>
              </w:rPr>
            </w:pPr>
            <w:r w:rsidRPr="00C42F9E">
              <w:rPr>
                <w:rFonts w:eastAsia="Arial"/>
                <w:highlight w:val="yellow"/>
              </w:rPr>
              <w:t>Additional surveillance testing site and staff</w:t>
            </w:r>
          </w:p>
        </w:tc>
      </w:tr>
    </w:tbl>
    <w:p w14:paraId="384ABC38" w14:textId="095911D9" w:rsidR="00C42F9E" w:rsidRPr="00C42F9E" w:rsidRDefault="00C42F9E" w:rsidP="00C42F9E">
      <w:pPr>
        <w:pStyle w:val="DHHStablecaption"/>
      </w:pPr>
      <w:bookmarkStart w:id="47" w:name="_Toc93219785"/>
      <w:r w:rsidRPr="00C42F9E">
        <w:t>Where staff are at the service at least daily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Where staff are at the service at least daily"/>
        <w:tblDescription w:val="Key activities; Trigger and timing; Led by; Role of Lead Provider"/>
      </w:tblPr>
      <w:tblGrid>
        <w:gridCol w:w="6185"/>
        <w:gridCol w:w="1323"/>
        <w:gridCol w:w="1134"/>
        <w:gridCol w:w="1814"/>
      </w:tblGrid>
      <w:tr w:rsidR="00C42F9E" w14:paraId="222623A4" w14:textId="77777777" w:rsidTr="00717ED8">
        <w:tc>
          <w:tcPr>
            <w:tcW w:w="6185" w:type="dxa"/>
          </w:tcPr>
          <w:p w14:paraId="208891C5" w14:textId="2A3FD9BD" w:rsidR="00C42F9E" w:rsidRPr="00C42F9E" w:rsidRDefault="00C42F9E" w:rsidP="005325AE">
            <w:pPr>
              <w:pStyle w:val="DHHStablecolhead"/>
            </w:pPr>
            <w:r w:rsidRPr="00C42F9E">
              <w:rPr>
                <w:highlight w:val="yellow"/>
              </w:rPr>
              <w:t>Key activities</w:t>
            </w:r>
          </w:p>
        </w:tc>
        <w:tc>
          <w:tcPr>
            <w:tcW w:w="1323" w:type="dxa"/>
          </w:tcPr>
          <w:p w14:paraId="324CE6B8" w14:textId="6E90DE35" w:rsidR="00C42F9E" w:rsidRPr="00C42F9E" w:rsidRDefault="00C42F9E" w:rsidP="005325AE">
            <w:pPr>
              <w:pStyle w:val="DHHStablecolhead"/>
            </w:pPr>
            <w:r w:rsidRPr="00C42F9E">
              <w:rPr>
                <w:highlight w:val="yellow"/>
              </w:rPr>
              <w:t>Trigger and timing </w:t>
            </w:r>
          </w:p>
        </w:tc>
        <w:tc>
          <w:tcPr>
            <w:tcW w:w="1134" w:type="dxa"/>
          </w:tcPr>
          <w:p w14:paraId="4B3BE481" w14:textId="46A97A16" w:rsidR="00C42F9E" w:rsidRPr="00C42F9E" w:rsidRDefault="00C42F9E" w:rsidP="005325AE">
            <w:pPr>
              <w:pStyle w:val="DHHStablecolhead"/>
            </w:pPr>
            <w:r w:rsidRPr="00C42F9E">
              <w:rPr>
                <w:highlight w:val="yellow"/>
              </w:rPr>
              <w:t>Led by </w:t>
            </w:r>
          </w:p>
        </w:tc>
        <w:tc>
          <w:tcPr>
            <w:tcW w:w="1814" w:type="dxa"/>
          </w:tcPr>
          <w:p w14:paraId="53BA0387" w14:textId="6EBD67F2" w:rsidR="00C42F9E" w:rsidRPr="00C42F9E" w:rsidRDefault="00C42F9E" w:rsidP="005325AE">
            <w:pPr>
              <w:pStyle w:val="DHHStablecolhead"/>
            </w:pPr>
            <w:r w:rsidRPr="00C42F9E">
              <w:rPr>
                <w:highlight w:val="yellow"/>
              </w:rPr>
              <w:t>Role of Lead Provider </w:t>
            </w:r>
          </w:p>
        </w:tc>
      </w:tr>
      <w:tr w:rsidR="00C42F9E" w14:paraId="1C97CD86" w14:textId="77777777" w:rsidTr="00717ED8">
        <w:tc>
          <w:tcPr>
            <w:tcW w:w="6185" w:type="dxa"/>
          </w:tcPr>
          <w:p w14:paraId="3F82BD5A" w14:textId="77777777" w:rsidR="00C42F9E" w:rsidRPr="00C42F9E" w:rsidRDefault="00C42F9E" w:rsidP="00C42F9E">
            <w:pPr>
              <w:pStyle w:val="DHHStabletext"/>
              <w:rPr>
                <w:rStyle w:val="Strong"/>
              </w:rPr>
            </w:pPr>
            <w:r w:rsidRPr="00C42F9E">
              <w:rPr>
                <w:rStyle w:val="Strong"/>
              </w:rPr>
              <w:t>COVIDSafety and Fit for work</w:t>
            </w:r>
          </w:p>
          <w:p w14:paraId="2C321D00" w14:textId="15A6F75F" w:rsidR="00C42F9E" w:rsidRDefault="00C42F9E" w:rsidP="00C42F9E">
            <w:pPr>
              <w:pStyle w:val="DHHSbody"/>
            </w:pPr>
            <w:r w:rsidRPr="00C42F9E">
              <w:t>Ensure staff double vaccinated and have had a booster shot as per Public Health recommendations</w:t>
            </w:r>
          </w:p>
        </w:tc>
        <w:tc>
          <w:tcPr>
            <w:tcW w:w="1323" w:type="dxa"/>
          </w:tcPr>
          <w:p w14:paraId="198F5B59" w14:textId="416CAA8A" w:rsidR="00C42F9E" w:rsidRDefault="00C42F9E" w:rsidP="00C42F9E">
            <w:pPr>
              <w:pStyle w:val="DHHSbody"/>
            </w:pPr>
            <w:r w:rsidRPr="00C42F9E">
              <w:t>High risk, staffed facility</w:t>
            </w:r>
          </w:p>
        </w:tc>
        <w:tc>
          <w:tcPr>
            <w:tcW w:w="1134" w:type="dxa"/>
          </w:tcPr>
          <w:p w14:paraId="2BB030B6" w14:textId="00D73E5D" w:rsidR="00C42F9E" w:rsidRDefault="00C42F9E" w:rsidP="00C42F9E">
            <w:pPr>
              <w:pStyle w:val="DHHSbody"/>
            </w:pPr>
            <w:r w:rsidRPr="00C42F9E">
              <w:t>Lead Provider</w:t>
            </w:r>
          </w:p>
        </w:tc>
        <w:tc>
          <w:tcPr>
            <w:tcW w:w="1814" w:type="dxa"/>
          </w:tcPr>
          <w:p w14:paraId="2149859E" w14:textId="5C801B2C" w:rsidR="00C42F9E" w:rsidRDefault="00C42F9E" w:rsidP="00C42F9E">
            <w:pPr>
              <w:pStyle w:val="DHHSbody"/>
            </w:pPr>
            <w:r w:rsidRPr="00C42F9E">
              <w:t>Ensure the need for vaccination is understood</w:t>
            </w:r>
          </w:p>
        </w:tc>
      </w:tr>
      <w:tr w:rsidR="00B50188" w14:paraId="5E1291DB" w14:textId="77777777" w:rsidTr="00717ED8">
        <w:tc>
          <w:tcPr>
            <w:tcW w:w="6185" w:type="dxa"/>
          </w:tcPr>
          <w:p w14:paraId="07F72668" w14:textId="77777777" w:rsidR="00B50188" w:rsidRPr="00B50188" w:rsidRDefault="00B50188" w:rsidP="00B50188">
            <w:pPr>
              <w:pStyle w:val="DHHStabletext"/>
              <w:rPr>
                <w:rStyle w:val="Strong"/>
              </w:rPr>
            </w:pPr>
            <w:r w:rsidRPr="00B50188">
              <w:rPr>
                <w:rStyle w:val="Strong"/>
              </w:rPr>
              <w:t>Workforce/champions training</w:t>
            </w:r>
          </w:p>
          <w:p w14:paraId="06B46054" w14:textId="2F89092C" w:rsidR="00B50188" w:rsidRDefault="00B50188" w:rsidP="004C1E48">
            <w:pPr>
              <w:pStyle w:val="Bullet1"/>
            </w:pPr>
            <w:r w:rsidRPr="00B50188">
              <w:t>Where there are identified capability gaps in prevention and preparedness (including in vaccination support) training may be developed or sourced from existing resources and training providers.</w:t>
            </w:r>
          </w:p>
        </w:tc>
        <w:tc>
          <w:tcPr>
            <w:tcW w:w="1323" w:type="dxa"/>
          </w:tcPr>
          <w:p w14:paraId="50E03767" w14:textId="5813C1D2" w:rsidR="00B50188" w:rsidRDefault="00B50188" w:rsidP="00B50188">
            <w:pPr>
              <w:pStyle w:val="DHHSbody"/>
            </w:pPr>
            <w:r w:rsidRPr="00B50188">
              <w:t>High risk, staffed facility</w:t>
            </w:r>
          </w:p>
        </w:tc>
        <w:tc>
          <w:tcPr>
            <w:tcW w:w="1134" w:type="dxa"/>
          </w:tcPr>
          <w:p w14:paraId="44BA4FCC" w14:textId="08FF804A" w:rsidR="00B50188" w:rsidRDefault="00B50188" w:rsidP="00B50188">
            <w:pPr>
              <w:pStyle w:val="DHHSbody"/>
            </w:pPr>
            <w:r w:rsidRPr="00B50188">
              <w:t>Lead Provider</w:t>
            </w:r>
          </w:p>
        </w:tc>
        <w:tc>
          <w:tcPr>
            <w:tcW w:w="1814" w:type="dxa"/>
          </w:tcPr>
          <w:p w14:paraId="3A9415BC" w14:textId="4CE9590B" w:rsidR="00B50188" w:rsidRDefault="00B50188" w:rsidP="00B50188">
            <w:pPr>
              <w:pStyle w:val="DHHSbody"/>
            </w:pPr>
            <w:r w:rsidRPr="00B50188">
              <w:t>Assist to upskill workforce</w:t>
            </w:r>
          </w:p>
        </w:tc>
      </w:tr>
    </w:tbl>
    <w:p w14:paraId="2A36F8FC" w14:textId="5472198B" w:rsidR="00CB7D21" w:rsidRDefault="00CB7D21" w:rsidP="00CB7D21">
      <w:pPr>
        <w:pStyle w:val="Heading2"/>
      </w:pPr>
      <w:bookmarkStart w:id="48" w:name="_Toc93905398"/>
      <w:r>
        <w:t>Active linkage to health and social supports</w:t>
      </w:r>
      <w:bookmarkEnd w:id="47"/>
      <w:bookmarkEnd w:id="48"/>
    </w:p>
    <w:p w14:paraId="19FAAE7F" w14:textId="77777777" w:rsidR="00CB7D21" w:rsidRPr="00B50188" w:rsidRDefault="00CB7D21" w:rsidP="000112A3">
      <w:pPr>
        <w:pStyle w:val="Heading3"/>
      </w:pPr>
      <w:r w:rsidRPr="00B50188">
        <w:t>Active linkage to health and social supports objectives</w:t>
      </w:r>
    </w:p>
    <w:p w14:paraId="4104F489" w14:textId="77777777" w:rsidR="00CB7D21" w:rsidRPr="00B50188" w:rsidRDefault="00CB7D21" w:rsidP="00B50188">
      <w:pPr>
        <w:pStyle w:val="DHHSbody"/>
      </w:pPr>
      <w:r w:rsidRPr="00B50188">
        <w:t>To facilitate access for people in high-risk settings to culturally appropriate and accessible support services (including health and social services, food and essential supplies) to meet their needs (particularly at times of heightened risk of COVID-19 infection, transmission or during outbreaks). To support connections between people in high-risk settings and the broader service system and maximise social recovery efforts at the local level.</w:t>
      </w:r>
    </w:p>
    <w:p w14:paraId="762600A9" w14:textId="77777777" w:rsidR="00CB7D21" w:rsidRPr="00C53BF8" w:rsidRDefault="00CB7D21" w:rsidP="000112A3">
      <w:pPr>
        <w:pStyle w:val="Heading3"/>
      </w:pPr>
      <w:r w:rsidRPr="00B50188">
        <w:t>Active linkage to health and social supports goals</w:t>
      </w:r>
    </w:p>
    <w:p w14:paraId="2AF44BE1" w14:textId="77777777" w:rsidR="00CB7D21" w:rsidRPr="00CB7D21" w:rsidRDefault="00CB7D21" w:rsidP="004C1E48">
      <w:pPr>
        <w:pStyle w:val="Bullet1"/>
      </w:pPr>
      <w:r w:rsidRPr="00CB7D21">
        <w:t xml:space="preserve">At times of heightened risk of COVID-19 infection, transmission or during outbreaks support making culturally safe, accessible and appropriate health and support services readily available to clients, staff and proprietors across in-scope settings, either through targeted social supports or connecting to existing services in other settings.  </w:t>
      </w:r>
    </w:p>
    <w:p w14:paraId="790FD392" w14:textId="77777777" w:rsidR="00CB7D21" w:rsidRPr="00CB7D21" w:rsidRDefault="00CB7D21" w:rsidP="004C1E48">
      <w:pPr>
        <w:pStyle w:val="Bullet1"/>
      </w:pPr>
      <w:r w:rsidRPr="00CB7D21">
        <w:t>Encourage connection between people in high-risk settings and the broader service system (health and social supports) to help address the needs of vulnerable people who may be disconnected from services.</w:t>
      </w:r>
    </w:p>
    <w:p w14:paraId="6F348A43" w14:textId="77777777" w:rsidR="00CB7D21" w:rsidRPr="00CB7D21" w:rsidRDefault="00CB7D21" w:rsidP="004C1E48">
      <w:pPr>
        <w:pStyle w:val="Bullet1"/>
      </w:pPr>
      <w:r w:rsidRPr="00CB7D21">
        <w:rPr>
          <w:highlight w:val="yellow"/>
        </w:rPr>
        <w:t xml:space="preserve">This includes increased focus for health concierge programs to link residents to broader health and social services. </w:t>
      </w:r>
    </w:p>
    <w:p w14:paraId="4DA920DA" w14:textId="77777777" w:rsidR="00CB7D21" w:rsidRPr="00CB7D21" w:rsidRDefault="00CB7D21" w:rsidP="004C1E48">
      <w:pPr>
        <w:pStyle w:val="Bullet1"/>
      </w:pPr>
      <w:r w:rsidRPr="00CB7D21">
        <w:t>Promote connection between local community and broader service system to maximise opportunities for social recovery and community resilience.</w:t>
      </w:r>
    </w:p>
    <w:p w14:paraId="6C5E366A" w14:textId="77777777" w:rsidR="00CB7D21" w:rsidRPr="00CB7D21" w:rsidRDefault="00CB7D21" w:rsidP="00B50188">
      <w:pPr>
        <w:pStyle w:val="DHHSbodyafterbullets"/>
      </w:pPr>
      <w:r w:rsidRPr="00CB7D21">
        <w:lastRenderedPageBreak/>
        <w:t>Leveraging upon the depth and strength of resident engagement and local relationships and trust developed between residents and Lead Providers, the HRAR Extension activities in this space will continue to focus on proactively creating linkages to health and social services. This activity will leverage supports</w:t>
      </w:r>
      <w:r w:rsidRPr="00CB7D21">
        <w:rPr>
          <w:b/>
        </w:rPr>
        <w:t xml:space="preserve"> </w:t>
      </w:r>
      <w:r w:rsidRPr="00CB7D21">
        <w:t xml:space="preserve">that are best matched to presenting needs with the aim of building connection between settings, cohorts, and individuals (where relevant and appropriate) and the broader service system. The continued aim is to support immediate and sustained physical, mental, and social well-being and maximise social recovery and community resilience opportunities. This may include active linkage to general practitioners, mental health, alcohol and drug supports, community services (including family violence, child and family services, community programs etc), financial aid, food relief and other supports, exercise programs, health promotion, and social connection supports, along with the provision of infection prevention advice. </w:t>
      </w:r>
    </w:p>
    <w:p w14:paraId="755A7DEF" w14:textId="77777777" w:rsidR="00CB7D21" w:rsidRPr="00B50188" w:rsidRDefault="00CB7D21" w:rsidP="00B50188">
      <w:pPr>
        <w:pStyle w:val="DHHSbody"/>
      </w:pPr>
      <w:r w:rsidRPr="00B50188">
        <w:t>It is known that from 2020 and 2021, fear, in addition to lock downs, has kept people indoors and isolated and many neglected regular health check-ups and appointments or failed to have health concerns investigated.</w:t>
      </w:r>
    </w:p>
    <w:p w14:paraId="2B9E3CBA" w14:textId="77777777" w:rsidR="00CB7D21" w:rsidRPr="00B50188" w:rsidRDefault="00CB7D21" w:rsidP="00B50188">
      <w:pPr>
        <w:pStyle w:val="DHHSbody"/>
      </w:pPr>
      <w:r w:rsidRPr="00B50188">
        <w:t>In addition, the isolation during lock downs, has been seen to trigger or escalate episodes of mental health illness, many of which have also gone untreated.</w:t>
      </w:r>
    </w:p>
    <w:p w14:paraId="708C6BA2" w14:textId="77777777" w:rsidR="00CB7D21" w:rsidRPr="00B50188" w:rsidRDefault="00CB7D21" w:rsidP="00B50188">
      <w:pPr>
        <w:pStyle w:val="DHHSbody"/>
      </w:pPr>
      <w:r w:rsidRPr="00B50188">
        <w:t>It must also be acknowledged, though, that prior to 2020 and COVID-19, the HRAR resident cohort often felt excluded and/or ineligible for service provision. For many, their most likely health presentation was during a crisis and through emergency services and the emergency department at their local hospital. Similarly, social groups and support networks are not always well known, understood or utilised by this group.</w:t>
      </w:r>
    </w:p>
    <w:p w14:paraId="560A0B4E" w14:textId="77777777" w:rsidR="00CB7D21" w:rsidRPr="00B50188" w:rsidRDefault="00CB7D21" w:rsidP="00B50188">
      <w:pPr>
        <w:pStyle w:val="DHHSbody"/>
      </w:pPr>
      <w:r w:rsidRPr="00B50188">
        <w:t>During contact with in-scope residents, Lead Providers continue to have an opportunity to work with a person to identify services that are available to them, encourage them to seek advice and support, join groups of interest to them and generally assist this vulnerable group to reconnect with their community.</w:t>
      </w:r>
    </w:p>
    <w:p w14:paraId="0EB644C3" w14:textId="77777777" w:rsidR="005325AE" w:rsidRDefault="005325AE">
      <w:pPr>
        <w:spacing w:after="0" w:line="240" w:lineRule="auto"/>
        <w:rPr>
          <w:b/>
          <w:sz w:val="20"/>
        </w:rPr>
      </w:pPr>
      <w:r>
        <w:br w:type="page"/>
      </w:r>
    </w:p>
    <w:p w14:paraId="5A608713" w14:textId="21AD417E" w:rsidR="00CB7D21" w:rsidRPr="00B50188" w:rsidRDefault="00CB7D21" w:rsidP="00B50188">
      <w:pPr>
        <w:pStyle w:val="DHHStablecaption"/>
      </w:pPr>
      <w:r w:rsidRPr="00B50188">
        <w:lastRenderedPageBreak/>
        <w:t xml:space="preserve">Key outputs: </w:t>
      </w:r>
      <w:r w:rsidRPr="00B50188">
        <w:rPr>
          <w:rStyle w:val="Heading4Char"/>
          <w:b/>
          <w:bCs w:val="0"/>
          <w:color w:val="auto"/>
          <w:sz w:val="20"/>
          <w:szCs w:val="20"/>
        </w:rPr>
        <w:t>Active linkage to health and social supports objectives</w:t>
      </w:r>
    </w:p>
    <w:tbl>
      <w:tblPr>
        <w:tblW w:w="9214"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Caption w:val="Key outputs: Active linkage to health and social supports objectives"/>
        <w:tblDescription w:val="Key activities; Trigger and timing; Led by; Role of Lead Provider"/>
      </w:tblPr>
      <w:tblGrid>
        <w:gridCol w:w="4536"/>
        <w:gridCol w:w="1701"/>
        <w:gridCol w:w="1418"/>
        <w:gridCol w:w="1559"/>
      </w:tblGrid>
      <w:tr w:rsidR="00CB7D21" w:rsidRPr="00CB7D21" w14:paraId="2BDEAE49" w14:textId="77777777" w:rsidTr="00993CE3">
        <w:trPr>
          <w:tblHeader/>
        </w:trPr>
        <w:tc>
          <w:tcPr>
            <w:tcW w:w="4536" w:type="dxa"/>
            <w:shd w:val="clear" w:color="auto" w:fill="auto"/>
            <w:hideMark/>
          </w:tcPr>
          <w:p w14:paraId="442AD8A4" w14:textId="77777777" w:rsidR="00CB7D21" w:rsidRPr="00CB7D21" w:rsidRDefault="00CB7D21" w:rsidP="005325AE">
            <w:pPr>
              <w:pStyle w:val="DHHStablecolhead"/>
            </w:pPr>
            <w:r w:rsidRPr="00CB7D21">
              <w:t>Key activities</w:t>
            </w:r>
          </w:p>
        </w:tc>
        <w:tc>
          <w:tcPr>
            <w:tcW w:w="1701" w:type="dxa"/>
            <w:shd w:val="clear" w:color="auto" w:fill="auto"/>
            <w:tcMar>
              <w:top w:w="80" w:type="dxa"/>
              <w:left w:w="80" w:type="dxa"/>
              <w:bottom w:w="80" w:type="dxa"/>
              <w:right w:w="80" w:type="dxa"/>
            </w:tcMar>
            <w:hideMark/>
          </w:tcPr>
          <w:p w14:paraId="3AC5E545" w14:textId="77777777" w:rsidR="00CB7D21" w:rsidRPr="00CB7D21" w:rsidRDefault="00CB7D21" w:rsidP="005325AE">
            <w:pPr>
              <w:pStyle w:val="DHHStablecolhead"/>
            </w:pPr>
            <w:r w:rsidRPr="00CB7D21">
              <w:t>Trigger and timing </w:t>
            </w:r>
          </w:p>
        </w:tc>
        <w:tc>
          <w:tcPr>
            <w:tcW w:w="1418" w:type="dxa"/>
            <w:shd w:val="clear" w:color="auto" w:fill="auto"/>
          </w:tcPr>
          <w:p w14:paraId="54F94BCD" w14:textId="77777777" w:rsidR="00CB7D21" w:rsidRPr="00CB7D21" w:rsidRDefault="00CB7D21" w:rsidP="005325AE">
            <w:pPr>
              <w:pStyle w:val="DHHStablecolhead"/>
            </w:pPr>
            <w:r w:rsidRPr="00CB7D21">
              <w:t>Led by </w:t>
            </w:r>
          </w:p>
        </w:tc>
        <w:tc>
          <w:tcPr>
            <w:tcW w:w="1559" w:type="dxa"/>
            <w:shd w:val="clear" w:color="auto" w:fill="auto"/>
          </w:tcPr>
          <w:p w14:paraId="7ADDD91A" w14:textId="77777777" w:rsidR="00CB7D21" w:rsidRPr="00CB7D21" w:rsidRDefault="00CB7D21" w:rsidP="005325AE">
            <w:pPr>
              <w:pStyle w:val="DHHStablecolhead"/>
            </w:pPr>
            <w:r w:rsidRPr="00CB7D21">
              <w:t>Role of Lead Provider </w:t>
            </w:r>
          </w:p>
        </w:tc>
      </w:tr>
      <w:tr w:rsidR="00CB7D21" w:rsidRPr="00CB7D21" w14:paraId="71CD37DB" w14:textId="77777777" w:rsidTr="00993CE3">
        <w:tc>
          <w:tcPr>
            <w:tcW w:w="4536" w:type="dxa"/>
          </w:tcPr>
          <w:p w14:paraId="18D0F978" w14:textId="77777777" w:rsidR="00CB7D21" w:rsidRPr="00CB7D21" w:rsidRDefault="00CB7D21" w:rsidP="00B50188">
            <w:pPr>
              <w:pStyle w:val="DHHStabletext"/>
              <w:rPr>
                <w:lang w:eastAsia="en-AU"/>
              </w:rPr>
            </w:pPr>
            <w:r w:rsidRPr="00CB7D21">
              <w:rPr>
                <w:lang w:eastAsia="en-AU"/>
              </w:rPr>
              <w:t xml:space="preserve">Use </w:t>
            </w:r>
            <w:r w:rsidRPr="00CB7D21">
              <w:t>existing relationships between providers and through the Catchment Leadership Group to provide referrals for people into appropriate services</w:t>
            </w:r>
          </w:p>
        </w:tc>
        <w:tc>
          <w:tcPr>
            <w:tcW w:w="1701" w:type="dxa"/>
            <w:tcMar>
              <w:top w:w="80" w:type="dxa"/>
              <w:left w:w="80" w:type="dxa"/>
              <w:bottom w:w="80" w:type="dxa"/>
              <w:right w:w="80" w:type="dxa"/>
            </w:tcMar>
          </w:tcPr>
          <w:p w14:paraId="23FF26FE" w14:textId="77777777" w:rsidR="00CB7D21" w:rsidRPr="00CB7D21" w:rsidRDefault="00CB7D21" w:rsidP="00B50188">
            <w:pPr>
              <w:pStyle w:val="DHHStabletext"/>
              <w:rPr>
                <w:lang w:eastAsia="en-AU"/>
              </w:rPr>
            </w:pPr>
            <w:r w:rsidRPr="00CB7D21">
              <w:rPr>
                <w:lang w:eastAsia="en-AU"/>
              </w:rPr>
              <w:t>Based on resident need</w:t>
            </w:r>
          </w:p>
        </w:tc>
        <w:tc>
          <w:tcPr>
            <w:tcW w:w="1418" w:type="dxa"/>
          </w:tcPr>
          <w:p w14:paraId="0E87B32C" w14:textId="77777777" w:rsidR="00CB7D21" w:rsidRPr="00CB7D21" w:rsidRDefault="00CB7D21" w:rsidP="00B50188">
            <w:pPr>
              <w:pStyle w:val="DHHStabletext"/>
              <w:rPr>
                <w:lang w:eastAsia="en-AU"/>
              </w:rPr>
            </w:pPr>
            <w:r w:rsidRPr="00CB7D21">
              <w:rPr>
                <w:lang w:eastAsia="en-AU"/>
              </w:rPr>
              <w:t>Lead Provider</w:t>
            </w:r>
          </w:p>
        </w:tc>
        <w:tc>
          <w:tcPr>
            <w:tcW w:w="1559" w:type="dxa"/>
          </w:tcPr>
          <w:p w14:paraId="06F14ABF" w14:textId="77777777" w:rsidR="00CB7D21" w:rsidRPr="00CB7D21" w:rsidRDefault="00CB7D21" w:rsidP="00B50188">
            <w:pPr>
              <w:pStyle w:val="DHHStabletext"/>
              <w:rPr>
                <w:lang w:eastAsia="en-AU"/>
              </w:rPr>
            </w:pPr>
            <w:r w:rsidRPr="00CB7D21">
              <w:rPr>
                <w:lang w:eastAsia="en-AU"/>
              </w:rPr>
              <w:t>Facilitate service</w:t>
            </w:r>
          </w:p>
        </w:tc>
      </w:tr>
      <w:tr w:rsidR="00CB7D21" w:rsidRPr="00CB7D21" w14:paraId="4CF14644" w14:textId="77777777" w:rsidTr="00993CE3">
        <w:tc>
          <w:tcPr>
            <w:tcW w:w="4536" w:type="dxa"/>
            <w:hideMark/>
          </w:tcPr>
          <w:p w14:paraId="68E4CEC8" w14:textId="77777777" w:rsidR="00CB7D21" w:rsidRPr="00CB7D21" w:rsidRDefault="00CB7D21" w:rsidP="00B50188">
            <w:pPr>
              <w:pStyle w:val="DHHStabletext"/>
              <w:rPr>
                <w:lang w:eastAsia="en-AU"/>
              </w:rPr>
            </w:pPr>
            <w:r w:rsidRPr="00CB7D21">
              <w:rPr>
                <w:lang w:eastAsia="en-AU"/>
              </w:rPr>
              <w:t>Advice and information about health, support and social services that may be of interest to residents and tenants</w:t>
            </w:r>
          </w:p>
        </w:tc>
        <w:tc>
          <w:tcPr>
            <w:tcW w:w="1701" w:type="dxa"/>
            <w:tcMar>
              <w:top w:w="80" w:type="dxa"/>
              <w:left w:w="80" w:type="dxa"/>
              <w:bottom w:w="80" w:type="dxa"/>
              <w:right w:w="80" w:type="dxa"/>
            </w:tcMar>
          </w:tcPr>
          <w:p w14:paraId="2CDDC32C" w14:textId="77777777" w:rsidR="00CB7D21" w:rsidRPr="00CB7D21" w:rsidRDefault="00CB7D21" w:rsidP="00B50188">
            <w:pPr>
              <w:pStyle w:val="DHHStabletext"/>
              <w:rPr>
                <w:lang w:eastAsia="en-AU"/>
              </w:rPr>
            </w:pPr>
            <w:r w:rsidRPr="00CB7D21">
              <w:rPr>
                <w:lang w:eastAsia="en-AU"/>
              </w:rPr>
              <w:t>Based on resident need</w:t>
            </w:r>
          </w:p>
        </w:tc>
        <w:tc>
          <w:tcPr>
            <w:tcW w:w="1418" w:type="dxa"/>
          </w:tcPr>
          <w:p w14:paraId="529533C5" w14:textId="77777777" w:rsidR="00CB7D21" w:rsidRPr="00CB7D21" w:rsidRDefault="00CB7D21" w:rsidP="00B50188">
            <w:pPr>
              <w:pStyle w:val="DHHStabletext"/>
              <w:rPr>
                <w:lang w:eastAsia="en-AU"/>
              </w:rPr>
            </w:pPr>
            <w:r w:rsidRPr="00CB7D21">
              <w:rPr>
                <w:lang w:eastAsia="en-AU"/>
              </w:rPr>
              <w:t>Lead Provider</w:t>
            </w:r>
          </w:p>
        </w:tc>
        <w:tc>
          <w:tcPr>
            <w:tcW w:w="1559" w:type="dxa"/>
          </w:tcPr>
          <w:p w14:paraId="40EFDCAA" w14:textId="77777777" w:rsidR="00CB7D21" w:rsidRPr="00CB7D21" w:rsidRDefault="00CB7D21" w:rsidP="00B50188">
            <w:pPr>
              <w:pStyle w:val="DHHStabletext"/>
              <w:rPr>
                <w:lang w:eastAsia="en-AU"/>
              </w:rPr>
            </w:pPr>
            <w:r w:rsidRPr="00CB7D21">
              <w:rPr>
                <w:lang w:eastAsia="en-AU"/>
              </w:rPr>
              <w:t>Provision of accurate and up to date information</w:t>
            </w:r>
          </w:p>
        </w:tc>
      </w:tr>
      <w:tr w:rsidR="00CB7D21" w:rsidRPr="00CB7D21" w14:paraId="73C25BEE" w14:textId="77777777" w:rsidTr="00993CE3">
        <w:tc>
          <w:tcPr>
            <w:tcW w:w="4536" w:type="dxa"/>
          </w:tcPr>
          <w:p w14:paraId="21D54146" w14:textId="0255B963" w:rsidR="00CB7D21" w:rsidRPr="00CB7D21" w:rsidRDefault="00CB7D21" w:rsidP="00B50188">
            <w:pPr>
              <w:pStyle w:val="DHHStabletext"/>
              <w:rPr>
                <w:lang w:eastAsia="en-AU"/>
              </w:rPr>
            </w:pPr>
            <w:r w:rsidRPr="00CB7D21">
              <w:rPr>
                <w:lang w:eastAsia="en-AU"/>
              </w:rPr>
              <w:t>Where required, provide advocacy and referrals for service.</w:t>
            </w:r>
          </w:p>
        </w:tc>
        <w:tc>
          <w:tcPr>
            <w:tcW w:w="1701" w:type="dxa"/>
            <w:tcMar>
              <w:top w:w="80" w:type="dxa"/>
              <w:left w:w="80" w:type="dxa"/>
              <w:bottom w:w="80" w:type="dxa"/>
              <w:right w:w="80" w:type="dxa"/>
            </w:tcMar>
          </w:tcPr>
          <w:p w14:paraId="0D35E3A3" w14:textId="77777777" w:rsidR="00CB7D21" w:rsidRPr="00CB7D21" w:rsidRDefault="00CB7D21" w:rsidP="00B50188">
            <w:pPr>
              <w:pStyle w:val="DHHStabletext"/>
              <w:rPr>
                <w:lang w:eastAsia="en-AU"/>
              </w:rPr>
            </w:pPr>
            <w:r w:rsidRPr="00CB7D21">
              <w:rPr>
                <w:lang w:eastAsia="en-AU"/>
              </w:rPr>
              <w:t>Based on resident need</w:t>
            </w:r>
          </w:p>
        </w:tc>
        <w:tc>
          <w:tcPr>
            <w:tcW w:w="1418" w:type="dxa"/>
          </w:tcPr>
          <w:p w14:paraId="676AA972" w14:textId="77777777" w:rsidR="00CB7D21" w:rsidRPr="00CB7D21" w:rsidRDefault="00CB7D21" w:rsidP="00B50188">
            <w:pPr>
              <w:pStyle w:val="DHHStabletext"/>
              <w:rPr>
                <w:lang w:eastAsia="en-AU"/>
              </w:rPr>
            </w:pPr>
            <w:r w:rsidRPr="00CB7D21">
              <w:rPr>
                <w:lang w:eastAsia="en-AU"/>
              </w:rPr>
              <w:t>Lead Provider</w:t>
            </w:r>
          </w:p>
        </w:tc>
        <w:tc>
          <w:tcPr>
            <w:tcW w:w="1559" w:type="dxa"/>
          </w:tcPr>
          <w:p w14:paraId="01F37454" w14:textId="77777777" w:rsidR="00CB7D21" w:rsidRPr="00CB7D21" w:rsidRDefault="00CB7D21" w:rsidP="00B50188">
            <w:pPr>
              <w:pStyle w:val="DHHStabletext"/>
              <w:rPr>
                <w:lang w:eastAsia="en-AU"/>
              </w:rPr>
            </w:pPr>
            <w:r w:rsidRPr="00CB7D21">
              <w:rPr>
                <w:lang w:eastAsia="en-AU"/>
              </w:rPr>
              <w:t>Facilitate service</w:t>
            </w:r>
          </w:p>
        </w:tc>
      </w:tr>
      <w:tr w:rsidR="00CB7D21" w:rsidRPr="00CB7D21" w14:paraId="617ADB31" w14:textId="77777777" w:rsidTr="00993CE3">
        <w:trPr>
          <w:trHeight w:val="1005"/>
        </w:trPr>
        <w:tc>
          <w:tcPr>
            <w:tcW w:w="4536" w:type="dxa"/>
          </w:tcPr>
          <w:p w14:paraId="024DBA1F" w14:textId="77777777" w:rsidR="00CB7D21" w:rsidRPr="00CB7D21" w:rsidRDefault="00CB7D21" w:rsidP="00B50188">
            <w:pPr>
              <w:pStyle w:val="DHHStabletext"/>
              <w:rPr>
                <w:lang w:eastAsia="en-AU"/>
              </w:rPr>
            </w:pPr>
            <w:r w:rsidRPr="00CB7D21">
              <w:rPr>
                <w:lang w:eastAsia="en-AU"/>
              </w:rPr>
              <w:t xml:space="preserve">Assist and encourage participation. </w:t>
            </w:r>
          </w:p>
        </w:tc>
        <w:tc>
          <w:tcPr>
            <w:tcW w:w="1701" w:type="dxa"/>
            <w:tcMar>
              <w:top w:w="80" w:type="dxa"/>
              <w:left w:w="80" w:type="dxa"/>
              <w:bottom w:w="80" w:type="dxa"/>
              <w:right w:w="80" w:type="dxa"/>
            </w:tcMar>
          </w:tcPr>
          <w:p w14:paraId="7AE9D6A7" w14:textId="77777777" w:rsidR="00CB7D21" w:rsidRPr="00CB7D21" w:rsidRDefault="00CB7D21" w:rsidP="00B50188">
            <w:pPr>
              <w:pStyle w:val="DHHStabletext"/>
              <w:rPr>
                <w:lang w:eastAsia="en-AU"/>
              </w:rPr>
            </w:pPr>
            <w:r w:rsidRPr="00CB7D21">
              <w:rPr>
                <w:lang w:eastAsia="en-AU"/>
              </w:rPr>
              <w:t>Based on resident need</w:t>
            </w:r>
          </w:p>
        </w:tc>
        <w:tc>
          <w:tcPr>
            <w:tcW w:w="1418" w:type="dxa"/>
          </w:tcPr>
          <w:p w14:paraId="77DCC8FE" w14:textId="77777777" w:rsidR="00CB7D21" w:rsidRPr="00CB7D21" w:rsidRDefault="00CB7D21" w:rsidP="00B50188">
            <w:pPr>
              <w:pStyle w:val="DHHStabletext"/>
              <w:rPr>
                <w:lang w:eastAsia="en-AU"/>
              </w:rPr>
            </w:pPr>
            <w:r w:rsidRPr="00CB7D21">
              <w:rPr>
                <w:lang w:eastAsia="en-AU"/>
              </w:rPr>
              <w:t>Lead Provider</w:t>
            </w:r>
          </w:p>
        </w:tc>
        <w:tc>
          <w:tcPr>
            <w:tcW w:w="1559" w:type="dxa"/>
          </w:tcPr>
          <w:p w14:paraId="6C17A0A5" w14:textId="77777777" w:rsidR="00CB7D21" w:rsidRPr="00CB7D21" w:rsidRDefault="00CB7D21" w:rsidP="00B50188">
            <w:pPr>
              <w:pStyle w:val="DHHStabletext"/>
              <w:rPr>
                <w:lang w:eastAsia="en-AU"/>
              </w:rPr>
            </w:pPr>
            <w:r w:rsidRPr="00CB7D21">
              <w:rPr>
                <w:lang w:eastAsia="en-AU"/>
              </w:rPr>
              <w:t>Support</w:t>
            </w:r>
          </w:p>
        </w:tc>
      </w:tr>
      <w:tr w:rsidR="00CB7D21" w:rsidRPr="00CB7D21" w14:paraId="7AA99550" w14:textId="77777777" w:rsidTr="00993CE3">
        <w:tc>
          <w:tcPr>
            <w:tcW w:w="4536" w:type="dxa"/>
          </w:tcPr>
          <w:p w14:paraId="4137CD61" w14:textId="77777777" w:rsidR="00CB7D21" w:rsidRPr="00CB7D21" w:rsidRDefault="00CB7D21" w:rsidP="00B50188">
            <w:pPr>
              <w:pStyle w:val="DHHStabletext"/>
              <w:rPr>
                <w:highlight w:val="yellow"/>
                <w:lang w:eastAsia="en-AU"/>
              </w:rPr>
            </w:pPr>
            <w:r w:rsidRPr="00CB7D21">
              <w:rPr>
                <w:highlight w:val="yellow"/>
                <w:lang w:eastAsia="en-AU"/>
              </w:rPr>
              <w:t>Utilise the health concierge program to link residents to broader health and social services</w:t>
            </w:r>
          </w:p>
        </w:tc>
        <w:tc>
          <w:tcPr>
            <w:tcW w:w="1701" w:type="dxa"/>
            <w:tcMar>
              <w:top w:w="80" w:type="dxa"/>
              <w:left w:w="80" w:type="dxa"/>
              <w:bottom w:w="80" w:type="dxa"/>
              <w:right w:w="80" w:type="dxa"/>
            </w:tcMar>
          </w:tcPr>
          <w:p w14:paraId="14CECF44" w14:textId="77777777" w:rsidR="00CB7D21" w:rsidRPr="00CB7D21" w:rsidRDefault="00CB7D21" w:rsidP="00B50188">
            <w:pPr>
              <w:pStyle w:val="DHHStabletext"/>
              <w:rPr>
                <w:highlight w:val="yellow"/>
                <w:lang w:eastAsia="en-AU"/>
              </w:rPr>
            </w:pPr>
            <w:r w:rsidRPr="00CB7D21">
              <w:rPr>
                <w:highlight w:val="yellow"/>
                <w:lang w:eastAsia="en-AU"/>
              </w:rPr>
              <w:t>Based on resident need</w:t>
            </w:r>
          </w:p>
        </w:tc>
        <w:tc>
          <w:tcPr>
            <w:tcW w:w="1418" w:type="dxa"/>
          </w:tcPr>
          <w:p w14:paraId="5CF2330D" w14:textId="77777777" w:rsidR="00CB7D21" w:rsidRPr="00CB7D21" w:rsidRDefault="00CB7D21" w:rsidP="00B50188">
            <w:pPr>
              <w:pStyle w:val="DHHStabletext"/>
              <w:rPr>
                <w:highlight w:val="yellow"/>
                <w:lang w:eastAsia="en-AU"/>
              </w:rPr>
            </w:pPr>
            <w:r w:rsidRPr="00CB7D21">
              <w:rPr>
                <w:highlight w:val="yellow"/>
                <w:lang w:eastAsia="en-AU"/>
              </w:rPr>
              <w:t>Lead Provider</w:t>
            </w:r>
          </w:p>
        </w:tc>
        <w:tc>
          <w:tcPr>
            <w:tcW w:w="1559" w:type="dxa"/>
          </w:tcPr>
          <w:p w14:paraId="529D6146" w14:textId="77777777" w:rsidR="00CB7D21" w:rsidRPr="00CB7D21" w:rsidRDefault="00CB7D21" w:rsidP="00B50188">
            <w:pPr>
              <w:pStyle w:val="DHHStabletext"/>
              <w:rPr>
                <w:highlight w:val="yellow"/>
                <w:lang w:eastAsia="en-AU"/>
              </w:rPr>
            </w:pPr>
            <w:r w:rsidRPr="00CB7D21">
              <w:rPr>
                <w:highlight w:val="yellow"/>
                <w:lang w:eastAsia="en-AU"/>
              </w:rPr>
              <w:t>Facilitate service</w:t>
            </w:r>
          </w:p>
        </w:tc>
      </w:tr>
    </w:tbl>
    <w:p w14:paraId="57C5B285" w14:textId="75366293" w:rsidR="00CB7D21" w:rsidRPr="00B50188" w:rsidRDefault="00CB7D21" w:rsidP="009376ED">
      <w:pPr>
        <w:pStyle w:val="DHHSbodyaftertablefigure"/>
        <w:rPr>
          <w:rStyle w:val="normaltextrun"/>
        </w:rPr>
      </w:pPr>
      <w:r w:rsidRPr="00B50188">
        <w:rPr>
          <w:rStyle w:val="normaltextrun"/>
        </w:rPr>
        <w:t xml:space="preserve">Further details on expected work within the five service pillars of the HRAR Extension, including active linkage to health and social supports are provided in Appendix 2. </w:t>
      </w:r>
    </w:p>
    <w:p w14:paraId="565E6BC9" w14:textId="77777777" w:rsidR="00CB7D21" w:rsidRPr="009376ED" w:rsidRDefault="00CB7D21" w:rsidP="009376ED">
      <w:pPr>
        <w:pStyle w:val="Heading2"/>
      </w:pPr>
      <w:bookmarkStart w:id="49" w:name="_Toc93219786"/>
      <w:bookmarkStart w:id="50" w:name="_Toc93905399"/>
      <w:r w:rsidRPr="009376ED">
        <w:t>Outbreak Support</w:t>
      </w:r>
      <w:bookmarkEnd w:id="49"/>
      <w:bookmarkEnd w:id="50"/>
    </w:p>
    <w:p w14:paraId="7F59E531" w14:textId="77777777" w:rsidR="00CB7D21" w:rsidRPr="005325AE" w:rsidRDefault="00CB7D21" w:rsidP="009376ED">
      <w:pPr>
        <w:pStyle w:val="Heading3"/>
      </w:pPr>
      <w:r w:rsidRPr="005325AE">
        <w:t>Outbreak support objectives</w:t>
      </w:r>
    </w:p>
    <w:p w14:paraId="36BA8D93" w14:textId="77777777" w:rsidR="00CB7D21" w:rsidRPr="00B50188" w:rsidRDefault="00CB7D21" w:rsidP="00B50188">
      <w:pPr>
        <w:pStyle w:val="DHHSbody"/>
      </w:pPr>
      <w:r w:rsidRPr="00B50188">
        <w:t>Support public health case and outbreak response activities to protect the health and wellbeing of people in high-risk human services settings (residential and non-residential) from COVID-19 infection and its impacts.</w:t>
      </w:r>
    </w:p>
    <w:p w14:paraId="45BC63D2" w14:textId="77777777" w:rsidR="00B50188" w:rsidRDefault="00CB7D21" w:rsidP="00B50188">
      <w:pPr>
        <w:pStyle w:val="DHHSbody"/>
      </w:pPr>
      <w:r w:rsidRPr="00B50188">
        <w:rPr>
          <w:highlight w:val="yellow"/>
        </w:rPr>
        <w:t>NB: Non-residential settings, e.g. disability day services, homeless service providers, will be included on a case-by-case basis as determined by DFFH HRAR Divisional team.</w:t>
      </w:r>
    </w:p>
    <w:p w14:paraId="2DD61526" w14:textId="551C9CE8" w:rsidR="00CB7D21" w:rsidRPr="00B50188" w:rsidRDefault="00CB7D21" w:rsidP="00B50188">
      <w:pPr>
        <w:pStyle w:val="Heading3"/>
        <w:rPr>
          <w:rStyle w:val="Heading4Char"/>
          <w:rFonts w:eastAsia="MS Gothic"/>
          <w:b w:val="0"/>
          <w:bCs/>
          <w:sz w:val="30"/>
          <w:szCs w:val="26"/>
        </w:rPr>
      </w:pPr>
      <w:r w:rsidRPr="00B50188">
        <w:t>Outbreak support goals</w:t>
      </w:r>
    </w:p>
    <w:p w14:paraId="08F616FE" w14:textId="77777777" w:rsidR="00CB7D21" w:rsidRPr="00B50188" w:rsidRDefault="00CB7D21" w:rsidP="00B50188">
      <w:pPr>
        <w:pStyle w:val="DHHSbody"/>
      </w:pPr>
      <w:r w:rsidRPr="00B50188">
        <w:t xml:space="preserve">Work with DH and DFFH to respond to COVID-19 outbreaks and positive COVID-19 cases at the local level, including as part of Incident Management Teams, Outbreak Management Teams or other forums established to manage the outbreak response. </w:t>
      </w:r>
    </w:p>
    <w:p w14:paraId="63DCCCFD" w14:textId="77777777" w:rsidR="00CB7D21" w:rsidRPr="00B50188" w:rsidRDefault="00CB7D21" w:rsidP="00B50188">
      <w:pPr>
        <w:pStyle w:val="DHHSbody"/>
      </w:pPr>
      <w:r w:rsidRPr="00B50188">
        <w:t xml:space="preserve">An outbreak in an in-scope HRAR setting </w:t>
      </w:r>
      <w:r w:rsidRPr="00B50188">
        <w:rPr>
          <w:highlight w:val="yellow"/>
        </w:rPr>
        <w:t>will be declared as determined by the Public Health Directions at the time.</w:t>
      </w:r>
      <w:r w:rsidRPr="00B50188">
        <w:t xml:space="preserve"> </w:t>
      </w:r>
    </w:p>
    <w:p w14:paraId="28B0E106" w14:textId="77777777" w:rsidR="00CB7D21" w:rsidRPr="00B50188" w:rsidRDefault="00CB7D21" w:rsidP="00B50188">
      <w:pPr>
        <w:pStyle w:val="DHHSbody"/>
      </w:pPr>
      <w:r w:rsidRPr="00B50188">
        <w:t xml:space="preserve">Care must be taken at all times to respect privacy considerations and ensure only those who need to know receive any personal information about the case. </w:t>
      </w:r>
    </w:p>
    <w:p w14:paraId="24B5783A" w14:textId="77777777" w:rsidR="00CB7D21" w:rsidRPr="00B50188" w:rsidRDefault="00CB7D21" w:rsidP="00B50188">
      <w:pPr>
        <w:pStyle w:val="DHHSbody"/>
      </w:pPr>
      <w:r w:rsidRPr="00B50188">
        <w:t xml:space="preserve">The Lead Provider is required to have an up-to-date understanding of their capacity and that of their partners so they can confirm agreement of the functions they can take on with DFFH or DH. </w:t>
      </w:r>
    </w:p>
    <w:p w14:paraId="60D202C3" w14:textId="77777777" w:rsidR="00CB7D21" w:rsidRPr="00B50188" w:rsidRDefault="00CB7D21" w:rsidP="00B50188">
      <w:pPr>
        <w:pStyle w:val="DHHSbody"/>
      </w:pPr>
      <w:r w:rsidRPr="00B50188">
        <w:t>The Lead Provider will provide local intelligence to inform the plan and will feed up-to-date information to the outbreak response over the life of the outbreak to inform changes in risk. In many cases, the Lead Provider is our eyes and ears on the ground and is the key conduit between health directions and the residents or tenants involved.</w:t>
      </w:r>
    </w:p>
    <w:p w14:paraId="73C0EDCB" w14:textId="77777777" w:rsidR="00CB7D21" w:rsidRPr="00B50188" w:rsidRDefault="00CB7D21" w:rsidP="00B50188">
      <w:pPr>
        <w:pStyle w:val="DHHSbody"/>
      </w:pPr>
      <w:r w:rsidRPr="00B50188">
        <w:lastRenderedPageBreak/>
        <w:t>The Lead Provider’s local knowledge and early intervention at the dwelling level is an invaluable tool during an outbreak. It is anticipated that Lead Providers will be called upon to provide information on several fronts and will be instrumental in utilising and building on existing networks to deliver services during the outbreak. Local intelligence gained through the valuable role of HRAR in responding at times of heightened risk of COVID-19 infection and transmission has created the flexibility to respond to priorities and needs as they evolve and this will be heightened in any outbreak or even potential outbreak situation.</w:t>
      </w:r>
    </w:p>
    <w:p w14:paraId="4B6F87B8" w14:textId="77777777" w:rsidR="00CB7D21" w:rsidRPr="00B50188" w:rsidRDefault="00CB7D21" w:rsidP="00B50188">
      <w:pPr>
        <w:pStyle w:val="DHHSbody"/>
        <w:rPr>
          <w:highlight w:val="yellow"/>
        </w:rPr>
      </w:pPr>
      <w:r w:rsidRPr="00B50188">
        <w:rPr>
          <w:highlight w:val="yellow"/>
        </w:rPr>
        <w:t xml:space="preserve">In the latter part of 2021, outbreaks have increased to the extent that a bespoke and staff intensive response must be limited to only those settings where the risk of community exposure and spread is high. In addition, isolation support for residents to be reduced in line with the Department of Health directions and as directed by the HRAR Divisional staff.  </w:t>
      </w:r>
    </w:p>
    <w:p w14:paraId="10B68B2B" w14:textId="77777777" w:rsidR="00CB7D21" w:rsidRPr="00B50188" w:rsidRDefault="00CB7D21" w:rsidP="00B50188">
      <w:pPr>
        <w:pStyle w:val="DHHSbody"/>
      </w:pPr>
      <w:r w:rsidRPr="00B50188">
        <w:rPr>
          <w:highlight w:val="yellow"/>
        </w:rPr>
        <w:t>When outbreaks are detected, actions to be taken will be directed by Public Health via the relevant Public Health Unit and may be based on a risk assessment undertaken by HRAR Divisional staff. Within this framework action may incorporate any or all of those actions identified above.</w:t>
      </w:r>
    </w:p>
    <w:p w14:paraId="4605A49F" w14:textId="04CA1186" w:rsidR="00CB7D21" w:rsidRDefault="00CB7D21">
      <w:pPr>
        <w:spacing w:after="0" w:line="240" w:lineRule="auto"/>
        <w:rPr>
          <w:rFonts w:eastAsia="Times"/>
          <w:sz w:val="20"/>
        </w:rPr>
      </w:pPr>
      <w:r>
        <w:br w:type="page"/>
      </w:r>
    </w:p>
    <w:p w14:paraId="209356EC" w14:textId="77777777" w:rsidR="00CB7D21" w:rsidRPr="00CB7D21" w:rsidRDefault="00CB7D21" w:rsidP="00CB7D21">
      <w:pPr>
        <w:pStyle w:val="DHHStablecaption"/>
        <w:rPr>
          <w:sz w:val="21"/>
          <w:szCs w:val="21"/>
        </w:rPr>
      </w:pPr>
      <w:r w:rsidRPr="00CB7D21">
        <w:rPr>
          <w:sz w:val="21"/>
          <w:szCs w:val="21"/>
        </w:rPr>
        <w:lastRenderedPageBreak/>
        <w:t xml:space="preserve">Key outputs: </w:t>
      </w:r>
      <w:r w:rsidRPr="00CB7D21">
        <w:rPr>
          <w:rStyle w:val="Heading4Char"/>
          <w:b/>
          <w:bCs w:val="0"/>
          <w:color w:val="auto"/>
          <w:sz w:val="21"/>
          <w:szCs w:val="21"/>
        </w:rPr>
        <w:t>Outbreak Support</w:t>
      </w:r>
    </w:p>
    <w:tbl>
      <w:tblPr>
        <w:tblStyle w:val="TableGrid"/>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Key outputs: Outbreak Support"/>
        <w:tblDescription w:val="Key activities; Trigger and timing; Lead by; Role of Lead Provider"/>
      </w:tblPr>
      <w:tblGrid>
        <w:gridCol w:w="4381"/>
        <w:gridCol w:w="1749"/>
        <w:gridCol w:w="1803"/>
        <w:gridCol w:w="1701"/>
      </w:tblGrid>
      <w:tr w:rsidR="00CB7D21" w:rsidRPr="00B45DDD" w14:paraId="13DAE9DE" w14:textId="77777777" w:rsidTr="00717ED8">
        <w:trPr>
          <w:cantSplit/>
          <w:tblHeader/>
        </w:trPr>
        <w:tc>
          <w:tcPr>
            <w:tcW w:w="4381" w:type="dxa"/>
            <w:shd w:val="clear" w:color="auto" w:fill="auto"/>
          </w:tcPr>
          <w:p w14:paraId="4F7A6730" w14:textId="77777777" w:rsidR="00CB7D21" w:rsidRPr="00B45DDD" w:rsidRDefault="00CB7D21" w:rsidP="005325AE">
            <w:pPr>
              <w:pStyle w:val="DHHStablecolhead"/>
              <w:rPr>
                <w:rFonts w:eastAsia="Arial" w:cs="Arial"/>
              </w:rPr>
            </w:pPr>
            <w:bookmarkStart w:id="51" w:name="_Hlk67384595"/>
            <w:r>
              <w:t>Key activities</w:t>
            </w:r>
            <w:r w:rsidRPr="00B048ED">
              <w:t xml:space="preserve"> </w:t>
            </w:r>
          </w:p>
        </w:tc>
        <w:tc>
          <w:tcPr>
            <w:tcW w:w="1749" w:type="dxa"/>
            <w:shd w:val="clear" w:color="auto" w:fill="auto"/>
          </w:tcPr>
          <w:p w14:paraId="25D572E8" w14:textId="77777777" w:rsidR="00CB7D21" w:rsidRPr="00073550" w:rsidRDefault="00CB7D21" w:rsidP="005325AE">
            <w:pPr>
              <w:pStyle w:val="DHHStablecolhead"/>
              <w:rPr>
                <w:rFonts w:eastAsia="Arial"/>
              </w:rPr>
            </w:pPr>
            <w:r w:rsidRPr="00073550">
              <w:rPr>
                <w:rFonts w:eastAsia="Arial"/>
              </w:rPr>
              <w:t>Trigger</w:t>
            </w:r>
            <w:r>
              <w:rPr>
                <w:rFonts w:eastAsia="Arial"/>
              </w:rPr>
              <w:t xml:space="preserve"> and timing</w:t>
            </w:r>
          </w:p>
        </w:tc>
        <w:tc>
          <w:tcPr>
            <w:tcW w:w="1803" w:type="dxa"/>
            <w:shd w:val="clear" w:color="auto" w:fill="auto"/>
          </w:tcPr>
          <w:p w14:paraId="08A5F94A" w14:textId="77777777" w:rsidR="00CB7D21" w:rsidRPr="00B45DDD" w:rsidRDefault="00CB7D21" w:rsidP="005325AE">
            <w:pPr>
              <w:pStyle w:val="DHHStablecolhead"/>
              <w:rPr>
                <w:rFonts w:eastAsia="Arial"/>
              </w:rPr>
            </w:pPr>
            <w:r w:rsidRPr="00B45DDD">
              <w:rPr>
                <w:rFonts w:eastAsia="Arial"/>
              </w:rPr>
              <w:t>Led by</w:t>
            </w:r>
          </w:p>
        </w:tc>
        <w:tc>
          <w:tcPr>
            <w:tcW w:w="1701" w:type="dxa"/>
            <w:shd w:val="clear" w:color="auto" w:fill="auto"/>
          </w:tcPr>
          <w:p w14:paraId="6259388A" w14:textId="77777777" w:rsidR="00CB7D21" w:rsidRPr="00B45DDD" w:rsidRDefault="00CB7D21" w:rsidP="005325AE">
            <w:pPr>
              <w:pStyle w:val="DHHStablecolhead"/>
              <w:rPr>
                <w:rFonts w:eastAsia="Arial"/>
              </w:rPr>
            </w:pPr>
            <w:r>
              <w:rPr>
                <w:rFonts w:eastAsia="Arial"/>
              </w:rPr>
              <w:t>Role of Lead Provider</w:t>
            </w:r>
          </w:p>
        </w:tc>
      </w:tr>
      <w:bookmarkEnd w:id="51"/>
      <w:tr w:rsidR="00CB7D21" w14:paraId="4470AA2D" w14:textId="77777777" w:rsidTr="00717ED8">
        <w:trPr>
          <w:cantSplit/>
        </w:trPr>
        <w:tc>
          <w:tcPr>
            <w:tcW w:w="4381" w:type="dxa"/>
            <w:vAlign w:val="center"/>
          </w:tcPr>
          <w:p w14:paraId="283113D4" w14:textId="77777777" w:rsidR="00CB7D21" w:rsidRDefault="00CB7D21" w:rsidP="004C1E48">
            <w:pPr>
              <w:pStyle w:val="DHHStabletext"/>
              <w:rPr>
                <w:rStyle w:val="Strong"/>
                <w:rFonts w:eastAsia="Arial"/>
              </w:rPr>
            </w:pPr>
            <w:r w:rsidRPr="004C1E48">
              <w:rPr>
                <w:rStyle w:val="Strong"/>
                <w:rFonts w:eastAsia="Arial"/>
              </w:rPr>
              <w:t>Outbreak response planning</w:t>
            </w:r>
          </w:p>
          <w:p w14:paraId="7DD27598" w14:textId="77777777" w:rsidR="004C1E48" w:rsidRPr="004C1E48" w:rsidRDefault="004C1E48" w:rsidP="004C1E48">
            <w:pPr>
              <w:pStyle w:val="Bullet1"/>
            </w:pPr>
            <w:r w:rsidRPr="004C1E48">
              <w:t>Participate as required in outbreak management forums:</w:t>
            </w:r>
          </w:p>
          <w:p w14:paraId="0DF6474D" w14:textId="77777777" w:rsidR="004C1E48" w:rsidRPr="004C1E48" w:rsidRDefault="004C1E48" w:rsidP="004C1E48">
            <w:pPr>
              <w:pStyle w:val="Bullet1"/>
            </w:pPr>
            <w:r w:rsidRPr="004C1E48">
              <w:t xml:space="preserve">Forums are led by either the DH or DFFH, </w:t>
            </w:r>
          </w:p>
          <w:p w14:paraId="3C1A0AD9" w14:textId="77777777" w:rsidR="004C1E48" w:rsidRPr="004C1E48" w:rsidRDefault="004C1E48" w:rsidP="004C1E48">
            <w:pPr>
              <w:pStyle w:val="Bullet1"/>
            </w:pPr>
            <w:r w:rsidRPr="004C1E48">
              <w:t>Lead Providers contribute to developing actions plan designed to eliminate or mitigate the risk of disease transmission and effect recovery of any positive cases,</w:t>
            </w:r>
          </w:p>
          <w:p w14:paraId="504A940F" w14:textId="4E1EF14F" w:rsidR="004C1E48" w:rsidRPr="004C1E48" w:rsidRDefault="004C1E48" w:rsidP="004C1E48">
            <w:pPr>
              <w:pStyle w:val="DHHStabletext"/>
              <w:rPr>
                <w:rStyle w:val="Strong"/>
                <w:rFonts w:eastAsia="Arial"/>
              </w:rPr>
            </w:pPr>
            <w:r w:rsidRPr="004C1E48">
              <w:rPr>
                <w:rFonts w:eastAsia="Times"/>
              </w:rPr>
              <w:t>Lead Providers will agree to undertake actions that are within their scope and complete all actions within agreed timeframes.</w:t>
            </w:r>
          </w:p>
        </w:tc>
        <w:tc>
          <w:tcPr>
            <w:tcW w:w="1749" w:type="dxa"/>
          </w:tcPr>
          <w:p w14:paraId="581ED5F2" w14:textId="1D9C987A" w:rsidR="00CB7D21" w:rsidRPr="004C1E48" w:rsidRDefault="004C1E48" w:rsidP="004C1E48">
            <w:pPr>
              <w:pStyle w:val="DHHStabletext"/>
              <w:rPr>
                <w:rFonts w:eastAsia="Arial"/>
              </w:rPr>
            </w:pPr>
            <w:r w:rsidRPr="004C1E48">
              <w:rPr>
                <w:rFonts w:eastAsia="Arial"/>
              </w:rPr>
              <w:t>In response to an outbreak as determined by the DH or DFFH</w:t>
            </w:r>
          </w:p>
        </w:tc>
        <w:tc>
          <w:tcPr>
            <w:tcW w:w="1803" w:type="dxa"/>
          </w:tcPr>
          <w:p w14:paraId="59090B33" w14:textId="77777777" w:rsidR="004C1E48" w:rsidRPr="004C1E48" w:rsidRDefault="004C1E48" w:rsidP="004C1E48">
            <w:pPr>
              <w:pStyle w:val="DHHStabletext"/>
              <w:rPr>
                <w:rFonts w:eastAsia="Arial"/>
              </w:rPr>
            </w:pPr>
            <w:r w:rsidRPr="004C1E48">
              <w:rPr>
                <w:rFonts w:eastAsia="Arial"/>
              </w:rPr>
              <w:t>Public Health (LPHU)</w:t>
            </w:r>
          </w:p>
          <w:p w14:paraId="32027E3B" w14:textId="4AFF8F20" w:rsidR="00CB7D21" w:rsidRPr="004C1E48" w:rsidRDefault="004C1E48" w:rsidP="004C1E48">
            <w:pPr>
              <w:pStyle w:val="DHHStabletext"/>
              <w:rPr>
                <w:rFonts w:eastAsia="Arial"/>
              </w:rPr>
            </w:pPr>
            <w:r w:rsidRPr="004C1E48">
              <w:t>DFFH</w:t>
            </w:r>
          </w:p>
        </w:tc>
        <w:tc>
          <w:tcPr>
            <w:tcW w:w="1701" w:type="dxa"/>
          </w:tcPr>
          <w:p w14:paraId="0683FDDC" w14:textId="77777777" w:rsidR="004C1E48" w:rsidRPr="004C1E48" w:rsidRDefault="004C1E48" w:rsidP="004C1E48">
            <w:pPr>
              <w:pStyle w:val="DHHStabletext"/>
              <w:rPr>
                <w:rFonts w:eastAsia="Arial"/>
              </w:rPr>
            </w:pPr>
            <w:r w:rsidRPr="004C1E48">
              <w:rPr>
                <w:rFonts w:eastAsia="Arial"/>
              </w:rPr>
              <w:t xml:space="preserve">Participate in relevant outbreak management forum. </w:t>
            </w:r>
          </w:p>
          <w:p w14:paraId="24B164B1" w14:textId="10AE8B1C" w:rsidR="00CB7D21" w:rsidRPr="004C1E48" w:rsidRDefault="004C1E48" w:rsidP="004C1E48">
            <w:pPr>
              <w:pStyle w:val="DHHStabletext"/>
              <w:rPr>
                <w:rFonts w:eastAsia="Arial"/>
              </w:rPr>
            </w:pPr>
            <w:r w:rsidRPr="004C1E48">
              <w:rPr>
                <w:rFonts w:eastAsia="Arial"/>
              </w:rPr>
              <w:t>Requested to deliver key parts of the Incident Management Plan or related plans</w:t>
            </w:r>
          </w:p>
        </w:tc>
      </w:tr>
      <w:tr w:rsidR="004C1E48" w14:paraId="36A25FEC" w14:textId="77777777" w:rsidTr="00717ED8">
        <w:trPr>
          <w:cantSplit/>
        </w:trPr>
        <w:tc>
          <w:tcPr>
            <w:tcW w:w="4381" w:type="dxa"/>
            <w:vAlign w:val="center"/>
          </w:tcPr>
          <w:p w14:paraId="7FE44F87" w14:textId="77777777" w:rsidR="004C1E48" w:rsidRDefault="004C1E48" w:rsidP="004C1E48">
            <w:pPr>
              <w:pStyle w:val="DHHStabletext"/>
              <w:rPr>
                <w:rStyle w:val="Strong"/>
              </w:rPr>
            </w:pPr>
            <w:r w:rsidRPr="004C1E48">
              <w:rPr>
                <w:rStyle w:val="Strong"/>
              </w:rPr>
              <w:t>Health service delivery and clinical governance</w:t>
            </w:r>
          </w:p>
          <w:p w14:paraId="74CBDDE8" w14:textId="77777777" w:rsidR="004C1E48" w:rsidRPr="004C1E48" w:rsidRDefault="004C1E48" w:rsidP="004C1E48">
            <w:pPr>
              <w:pStyle w:val="DHHStabletext"/>
              <w:rPr>
                <w:rFonts w:eastAsia="Arial"/>
              </w:rPr>
            </w:pPr>
            <w:r w:rsidRPr="004C1E48">
              <w:rPr>
                <w:rFonts w:eastAsia="Arial"/>
              </w:rPr>
              <w:t>Depending on requirements set out in the incident action plan or other relate plans, this could include:</w:t>
            </w:r>
          </w:p>
          <w:p w14:paraId="4C0D14D3" w14:textId="77777777" w:rsidR="004C1E48" w:rsidRPr="004C1E48" w:rsidRDefault="004C1E48" w:rsidP="004C1E48">
            <w:pPr>
              <w:pStyle w:val="Bullet1"/>
            </w:pPr>
            <w:r w:rsidRPr="004C1E48">
              <w:t>Support community engagement, health promotion,</w:t>
            </w:r>
          </w:p>
          <w:p w14:paraId="2CE4D31F" w14:textId="77777777" w:rsidR="004C1E48" w:rsidRPr="004C1E48" w:rsidRDefault="004C1E48" w:rsidP="004C1E48">
            <w:pPr>
              <w:pStyle w:val="Bullet1"/>
            </w:pPr>
            <w:r w:rsidRPr="004C1E48">
              <w:t>Deliver onsite testing in line with agreed testing strategy and timeframes,</w:t>
            </w:r>
          </w:p>
          <w:p w14:paraId="61841863" w14:textId="77777777" w:rsidR="004C1E48" w:rsidRPr="004C1E48" w:rsidRDefault="004C1E48" w:rsidP="004C1E48">
            <w:pPr>
              <w:pStyle w:val="Bullet1"/>
            </w:pPr>
            <w:r w:rsidRPr="004C1E48">
              <w:t>In some cases, deliver case and close contact management – including making daily calls to positive cases and close contacts (only if required),</w:t>
            </w:r>
          </w:p>
          <w:p w14:paraId="07012679" w14:textId="23A87CC9" w:rsidR="004C1E48" w:rsidRPr="004C1E48" w:rsidRDefault="004C1E48" w:rsidP="004C1E48">
            <w:pPr>
              <w:pStyle w:val="DHHStabletext"/>
              <w:rPr>
                <w:rStyle w:val="Strong"/>
              </w:rPr>
            </w:pPr>
            <w:r w:rsidRPr="004C1E48">
              <w:rPr>
                <w:rFonts w:eastAsia="Arial"/>
              </w:rPr>
              <w:t>Be an escalation point if residents have complex health (and support) needs. Link residents into existing health services</w:t>
            </w:r>
          </w:p>
        </w:tc>
        <w:tc>
          <w:tcPr>
            <w:tcW w:w="1749" w:type="dxa"/>
          </w:tcPr>
          <w:p w14:paraId="6BD1EB65" w14:textId="77777777" w:rsidR="004C1E48" w:rsidRPr="004C1E48" w:rsidRDefault="004C1E48" w:rsidP="004C1E48">
            <w:pPr>
              <w:pStyle w:val="DHHStabletext"/>
              <w:rPr>
                <w:rFonts w:eastAsia="Arial"/>
              </w:rPr>
            </w:pPr>
            <w:r w:rsidRPr="004C1E48">
              <w:rPr>
                <w:rFonts w:eastAsia="Arial"/>
              </w:rPr>
              <w:t xml:space="preserve">In response to an outbreak – as set out in Incident Action Plan or related plans </w:t>
            </w:r>
          </w:p>
          <w:p w14:paraId="522DA78E" w14:textId="77777777" w:rsidR="004C1E48" w:rsidRPr="004C1E48" w:rsidRDefault="004C1E48" w:rsidP="004C1E48">
            <w:pPr>
              <w:pStyle w:val="DHHStabletext"/>
            </w:pPr>
          </w:p>
        </w:tc>
        <w:tc>
          <w:tcPr>
            <w:tcW w:w="1803" w:type="dxa"/>
          </w:tcPr>
          <w:p w14:paraId="3C81C3E2" w14:textId="4034853F" w:rsidR="004C1E48" w:rsidRPr="004C1E48" w:rsidRDefault="004C1E48" w:rsidP="004C1E48">
            <w:pPr>
              <w:pStyle w:val="DHHStabletext"/>
            </w:pPr>
            <w:r w:rsidRPr="004C1E48">
              <w:rPr>
                <w:rFonts w:eastAsia="Arial"/>
              </w:rPr>
              <w:t>DH/DFFH</w:t>
            </w:r>
          </w:p>
        </w:tc>
        <w:tc>
          <w:tcPr>
            <w:tcW w:w="1701" w:type="dxa"/>
          </w:tcPr>
          <w:p w14:paraId="59449203" w14:textId="2B423052" w:rsidR="004C1E48" w:rsidRPr="004C1E48" w:rsidRDefault="004C1E48" w:rsidP="004C1E48">
            <w:pPr>
              <w:pStyle w:val="DHHStabletext"/>
            </w:pPr>
            <w:r w:rsidRPr="004C1E48">
              <w:rPr>
                <w:rFonts w:eastAsia="Arial"/>
              </w:rPr>
              <w:t>Deliver health services including proactive contact management, active case management and proactive case finding as agreed in the Incident Action Plan or related plans.</w:t>
            </w:r>
          </w:p>
        </w:tc>
      </w:tr>
      <w:tr w:rsidR="004C1E48" w14:paraId="31B438A0" w14:textId="77777777" w:rsidTr="00717ED8">
        <w:trPr>
          <w:cantSplit/>
        </w:trPr>
        <w:tc>
          <w:tcPr>
            <w:tcW w:w="4381" w:type="dxa"/>
            <w:vAlign w:val="center"/>
          </w:tcPr>
          <w:p w14:paraId="5C31A102" w14:textId="77777777" w:rsidR="004C1E48" w:rsidRDefault="004C1E48" w:rsidP="004C1E48">
            <w:pPr>
              <w:pStyle w:val="DHHStabletext"/>
              <w:rPr>
                <w:rStyle w:val="Strong"/>
              </w:rPr>
            </w:pPr>
            <w:r w:rsidRPr="004C1E48">
              <w:rPr>
                <w:rStyle w:val="Strong"/>
              </w:rPr>
              <w:t>Social Services and Relief</w:t>
            </w:r>
          </w:p>
          <w:p w14:paraId="76FAA01E" w14:textId="77777777" w:rsidR="004C1E48" w:rsidRPr="004E40FA" w:rsidRDefault="004C1E48" w:rsidP="004C1E48">
            <w:pPr>
              <w:pStyle w:val="DHHStabletext"/>
              <w:rPr>
                <w:rFonts w:eastAsia="Arial"/>
              </w:rPr>
            </w:pPr>
            <w:r w:rsidRPr="004E40FA">
              <w:rPr>
                <w:rFonts w:eastAsia="Arial"/>
              </w:rPr>
              <w:t>Leverag</w:t>
            </w:r>
            <w:r>
              <w:rPr>
                <w:rFonts w:eastAsia="Arial"/>
              </w:rPr>
              <w:t>e</w:t>
            </w:r>
            <w:r w:rsidRPr="004E40FA">
              <w:rPr>
                <w:rFonts w:eastAsia="Arial"/>
              </w:rPr>
              <w:t xml:space="preserve"> existing local service networks, be the escalation point for positive cases and close contacts who have complex needs. </w:t>
            </w:r>
          </w:p>
          <w:p w14:paraId="6BC27AF6" w14:textId="07DD894D" w:rsidR="004C1E48" w:rsidRPr="004C1E48" w:rsidRDefault="004C1E48" w:rsidP="004C1E48">
            <w:pPr>
              <w:pStyle w:val="DHHStabletext"/>
              <w:rPr>
                <w:rStyle w:val="Strong"/>
                <w:rFonts w:eastAsia="Arial"/>
              </w:rPr>
            </w:pPr>
            <w:r w:rsidRPr="004E40FA">
              <w:rPr>
                <w:rFonts w:eastAsia="Arial"/>
              </w:rPr>
              <w:t>Establish referral pathways to existing and new supports for residents and to undertake case planning for complex clients.</w:t>
            </w:r>
          </w:p>
        </w:tc>
        <w:tc>
          <w:tcPr>
            <w:tcW w:w="1749" w:type="dxa"/>
          </w:tcPr>
          <w:p w14:paraId="1EF4295A" w14:textId="0EB1D8A0" w:rsidR="004C1E48" w:rsidRPr="004C1E48" w:rsidRDefault="004C1E48" w:rsidP="004C1E48">
            <w:pPr>
              <w:pStyle w:val="DHHStabletext"/>
              <w:rPr>
                <w:rFonts w:eastAsia="Arial"/>
              </w:rPr>
            </w:pPr>
            <w:r w:rsidRPr="004C1E48">
              <w:rPr>
                <w:rFonts w:eastAsia="Arial"/>
              </w:rPr>
              <w:t>In response to an outbreak – as set out in Incident Action Plan or related plans</w:t>
            </w:r>
          </w:p>
        </w:tc>
        <w:tc>
          <w:tcPr>
            <w:tcW w:w="1803" w:type="dxa"/>
          </w:tcPr>
          <w:p w14:paraId="17E33073" w14:textId="29BB63FA" w:rsidR="004C1E48" w:rsidRPr="004C1E48" w:rsidRDefault="004C1E48" w:rsidP="004C1E48">
            <w:pPr>
              <w:pStyle w:val="DHHStabletext"/>
              <w:rPr>
                <w:rFonts w:eastAsia="Arial"/>
              </w:rPr>
            </w:pPr>
            <w:r w:rsidRPr="004C1E48">
              <w:rPr>
                <w:rFonts w:eastAsia="Arial"/>
              </w:rPr>
              <w:t>DH/DFFH</w:t>
            </w:r>
          </w:p>
        </w:tc>
        <w:tc>
          <w:tcPr>
            <w:tcW w:w="1701" w:type="dxa"/>
            <w:shd w:val="clear" w:color="auto" w:fill="auto"/>
          </w:tcPr>
          <w:p w14:paraId="4E5EDBC2" w14:textId="77777777" w:rsidR="004C1E48" w:rsidRPr="004C1E48" w:rsidRDefault="004C1E48" w:rsidP="004C1E48">
            <w:pPr>
              <w:pStyle w:val="DHHStabletext"/>
              <w:rPr>
                <w:rFonts w:eastAsia="Arial"/>
              </w:rPr>
            </w:pPr>
            <w:r w:rsidRPr="004C1E48">
              <w:rPr>
                <w:rFonts w:eastAsia="Arial"/>
              </w:rPr>
              <w:t xml:space="preserve">Escalation point for people with complex needs. </w:t>
            </w:r>
          </w:p>
          <w:p w14:paraId="01C65B96" w14:textId="28218D86" w:rsidR="004C1E48" w:rsidRPr="004C1E48" w:rsidRDefault="004C1E48" w:rsidP="004C1E48">
            <w:pPr>
              <w:pStyle w:val="DHHStabletext"/>
              <w:rPr>
                <w:rFonts w:eastAsia="Arial"/>
              </w:rPr>
            </w:pPr>
            <w:r w:rsidRPr="004C1E48">
              <w:rPr>
                <w:rFonts w:eastAsia="Arial"/>
              </w:rPr>
              <w:t>Deliver case planning and referral.</w:t>
            </w:r>
          </w:p>
        </w:tc>
      </w:tr>
      <w:tr w:rsidR="004C1E48" w14:paraId="03E84550" w14:textId="77777777" w:rsidTr="00717ED8">
        <w:trPr>
          <w:cantSplit/>
        </w:trPr>
        <w:tc>
          <w:tcPr>
            <w:tcW w:w="4381" w:type="dxa"/>
          </w:tcPr>
          <w:p w14:paraId="357E7878" w14:textId="77777777" w:rsidR="004C1E48" w:rsidRDefault="004C1E48" w:rsidP="004C1E48">
            <w:pPr>
              <w:pStyle w:val="DHHStabletext"/>
              <w:rPr>
                <w:rStyle w:val="Strong"/>
                <w:rFonts w:eastAsia="Arial"/>
              </w:rPr>
            </w:pPr>
            <w:r w:rsidRPr="004C1E48">
              <w:rPr>
                <w:rStyle w:val="Strong"/>
                <w:rFonts w:eastAsia="Arial"/>
              </w:rPr>
              <w:t>Material Aid</w:t>
            </w:r>
          </w:p>
          <w:p w14:paraId="4FE052D5" w14:textId="0EB7DEF0" w:rsidR="004C1E48" w:rsidRPr="004C1E48" w:rsidRDefault="004C1E48" w:rsidP="004C1E48">
            <w:pPr>
              <w:pStyle w:val="DHHStabletext"/>
              <w:rPr>
                <w:rFonts w:eastAsia="Arial"/>
              </w:rPr>
            </w:pPr>
            <w:r w:rsidRPr="004C1E48">
              <w:rPr>
                <w:rFonts w:eastAsia="Arial"/>
              </w:rPr>
              <w:t xml:space="preserve">Where agreed in the relevant </w:t>
            </w:r>
            <w:r w:rsidRPr="004C1E48">
              <w:rPr>
                <w:rFonts w:eastAsia="Times"/>
              </w:rPr>
              <w:t>outbreak management forums</w:t>
            </w:r>
            <w:r w:rsidRPr="004C1E48">
              <w:rPr>
                <w:rFonts w:eastAsia="Arial"/>
              </w:rPr>
              <w:t xml:space="preserve"> or the Incident Controller, identify food and aid needs of residents (including any culturally specific requirements) and refer to the appropriate provider for sourcing and distribution.</w:t>
            </w:r>
          </w:p>
          <w:p w14:paraId="6BD69AE8" w14:textId="77777777" w:rsidR="004C1E48" w:rsidRPr="004C1E48" w:rsidRDefault="004C1E48" w:rsidP="004C1E48">
            <w:pPr>
              <w:pStyle w:val="DHHStabletext"/>
              <w:rPr>
                <w:rFonts w:eastAsia="Arial"/>
              </w:rPr>
            </w:pPr>
            <w:r w:rsidRPr="004C1E48">
              <w:rPr>
                <w:rFonts w:eastAsia="Arial"/>
              </w:rPr>
              <w:t>These include, but may not be limited to, food, sanitary items, pharmaceuticals, medical and nursing care and water.</w:t>
            </w:r>
          </w:p>
          <w:p w14:paraId="6BFB6596" w14:textId="230194D8" w:rsidR="004C1E48" w:rsidRPr="004C1E48" w:rsidRDefault="004C1E48" w:rsidP="004C1E48">
            <w:pPr>
              <w:pStyle w:val="DHHStabletext"/>
              <w:rPr>
                <w:rStyle w:val="Strong"/>
                <w:rFonts w:eastAsia="Arial"/>
              </w:rPr>
            </w:pPr>
            <w:r w:rsidRPr="004C1E48">
              <w:rPr>
                <w:rFonts w:eastAsia="Arial"/>
              </w:rPr>
              <w:t>In some rare cases, where the need is immediate, the request may be to purchase and provide items immediately.</w:t>
            </w:r>
          </w:p>
        </w:tc>
        <w:tc>
          <w:tcPr>
            <w:tcW w:w="1749" w:type="dxa"/>
          </w:tcPr>
          <w:p w14:paraId="26751E22" w14:textId="5194017E" w:rsidR="004C1E48" w:rsidRPr="004C1E48" w:rsidRDefault="004C1E48" w:rsidP="004C1E48">
            <w:pPr>
              <w:pStyle w:val="DHHStabletext"/>
              <w:rPr>
                <w:rFonts w:eastAsia="Arial"/>
              </w:rPr>
            </w:pPr>
            <w:r w:rsidRPr="004C1E48">
              <w:rPr>
                <w:rFonts w:eastAsia="Arial"/>
              </w:rPr>
              <w:t>In response to an outbreak – as set out in Incident Action Plan or related plans</w:t>
            </w:r>
          </w:p>
        </w:tc>
        <w:tc>
          <w:tcPr>
            <w:tcW w:w="1803" w:type="dxa"/>
          </w:tcPr>
          <w:p w14:paraId="7611D4E4" w14:textId="397CCB3D" w:rsidR="004C1E48" w:rsidRPr="004C1E48" w:rsidRDefault="004C1E48" w:rsidP="004C1E48">
            <w:pPr>
              <w:pStyle w:val="DHHStabletext"/>
              <w:rPr>
                <w:rFonts w:eastAsia="Arial"/>
              </w:rPr>
            </w:pPr>
            <w:r w:rsidRPr="004C1E48">
              <w:rPr>
                <w:rFonts w:eastAsia="Arial"/>
              </w:rPr>
              <w:t>DH/DFFH</w:t>
            </w:r>
          </w:p>
        </w:tc>
        <w:tc>
          <w:tcPr>
            <w:tcW w:w="1701" w:type="dxa"/>
            <w:shd w:val="clear" w:color="auto" w:fill="auto"/>
          </w:tcPr>
          <w:p w14:paraId="2521272A" w14:textId="07A88699" w:rsidR="004C1E48" w:rsidRPr="004C1E48" w:rsidRDefault="004C1E48" w:rsidP="004C1E48">
            <w:pPr>
              <w:pStyle w:val="DHHStabletext"/>
              <w:rPr>
                <w:rFonts w:eastAsia="Arial"/>
              </w:rPr>
            </w:pPr>
            <w:r w:rsidRPr="004C1E48">
              <w:rPr>
                <w:rFonts w:eastAsia="Arial"/>
              </w:rPr>
              <w:t>As agreed in the Incident Action Plan or related plans.</w:t>
            </w:r>
          </w:p>
        </w:tc>
      </w:tr>
    </w:tbl>
    <w:p w14:paraId="5E00DFC8" w14:textId="77777777" w:rsidR="00CB7D21" w:rsidRPr="004C1E48" w:rsidRDefault="00CB7D21" w:rsidP="004C1E48">
      <w:pPr>
        <w:pStyle w:val="Heading1"/>
      </w:pPr>
      <w:bookmarkStart w:id="52" w:name="_Toc93219787"/>
      <w:bookmarkStart w:id="53" w:name="_Toc93905400"/>
      <w:r w:rsidRPr="004C1E48">
        <w:lastRenderedPageBreak/>
        <w:t>Reporting requirements</w:t>
      </w:r>
      <w:bookmarkEnd w:id="52"/>
      <w:bookmarkEnd w:id="53"/>
    </w:p>
    <w:p w14:paraId="6295DF9C" w14:textId="77777777" w:rsidR="00CB7D21" w:rsidRPr="004C1E48" w:rsidRDefault="00CB7D21" w:rsidP="004C1E48">
      <w:pPr>
        <w:pStyle w:val="Heading2"/>
      </w:pPr>
      <w:bookmarkStart w:id="54" w:name="_Toc93219788"/>
      <w:bookmarkStart w:id="55" w:name="_Toc93905401"/>
      <w:r w:rsidRPr="004C1E48">
        <w:t>Required Reporting</w:t>
      </w:r>
      <w:bookmarkEnd w:id="54"/>
      <w:bookmarkEnd w:id="55"/>
    </w:p>
    <w:p w14:paraId="2AB0495A" w14:textId="77777777" w:rsidR="00CB7D21" w:rsidRPr="00EA230D" w:rsidRDefault="00CB7D21" w:rsidP="00EA230D">
      <w:pPr>
        <w:pStyle w:val="DHHSbody"/>
        <w:rPr>
          <w:highlight w:val="yellow"/>
        </w:rPr>
      </w:pPr>
      <w:r w:rsidRPr="00EA230D">
        <w:rPr>
          <w:highlight w:val="yellow"/>
        </w:rPr>
        <w:t>Reporting requirements remain largely the same:</w:t>
      </w:r>
    </w:p>
    <w:p w14:paraId="47FAC7D4" w14:textId="77777777" w:rsidR="00CB7D21" w:rsidRPr="0003286C" w:rsidRDefault="00CB7D21" w:rsidP="00EA230D">
      <w:pPr>
        <w:pStyle w:val="Bullet1"/>
        <w:rPr>
          <w:highlight w:val="yellow"/>
        </w:rPr>
      </w:pPr>
      <w:r w:rsidRPr="0003286C">
        <w:rPr>
          <w:highlight w:val="yellow"/>
        </w:rPr>
        <w:t>Acquittals</w:t>
      </w:r>
    </w:p>
    <w:p w14:paraId="7AD0EA73" w14:textId="77777777" w:rsidR="00CB7D21" w:rsidRPr="0003286C" w:rsidRDefault="00CB7D21" w:rsidP="00EA230D">
      <w:pPr>
        <w:pStyle w:val="Bullet1"/>
        <w:rPr>
          <w:highlight w:val="yellow"/>
        </w:rPr>
      </w:pPr>
      <w:r w:rsidRPr="0003286C">
        <w:rPr>
          <w:highlight w:val="yellow"/>
        </w:rPr>
        <w:t>Prevention and Preparedness report (HRAR Extension reporting template)</w:t>
      </w:r>
    </w:p>
    <w:p w14:paraId="3BBF4732" w14:textId="77777777" w:rsidR="00CB7D21" w:rsidRPr="0003286C" w:rsidRDefault="00CB7D21" w:rsidP="00EA230D">
      <w:pPr>
        <w:pStyle w:val="Bullet1"/>
        <w:rPr>
          <w:highlight w:val="yellow"/>
        </w:rPr>
      </w:pPr>
      <w:r w:rsidRPr="0003286C">
        <w:rPr>
          <w:highlight w:val="yellow"/>
        </w:rPr>
        <w:t xml:space="preserve">Risk Rating </w:t>
      </w:r>
    </w:p>
    <w:p w14:paraId="341B2819" w14:textId="77777777" w:rsidR="00CB7D21" w:rsidRPr="0003286C" w:rsidRDefault="00CB7D21" w:rsidP="00EA230D">
      <w:pPr>
        <w:pStyle w:val="DHHSbodyafterbullets"/>
        <w:rPr>
          <w:highlight w:val="yellow"/>
        </w:rPr>
      </w:pPr>
      <w:r w:rsidRPr="0003286C">
        <w:rPr>
          <w:highlight w:val="yellow"/>
        </w:rPr>
        <w:t>Catchment planning templates no longer need to be provided, however, reporting on catchment leadership and partnerships, including the activities described in the catchment partnerships section, will need to be added in the HRAR Extension reporting template monthly under the qualitative data section:</w:t>
      </w:r>
    </w:p>
    <w:p w14:paraId="10DE263F" w14:textId="77777777" w:rsidR="00CB7D21" w:rsidRPr="0003286C" w:rsidRDefault="00CB7D21" w:rsidP="00EA230D">
      <w:pPr>
        <w:pStyle w:val="Bullet1"/>
        <w:rPr>
          <w:highlight w:val="yellow"/>
        </w:rPr>
      </w:pPr>
      <w:r w:rsidRPr="0003286C">
        <w:rPr>
          <w:highlight w:val="yellow"/>
        </w:rPr>
        <w:t>Key achievements</w:t>
      </w:r>
    </w:p>
    <w:p w14:paraId="356DE63A" w14:textId="77777777" w:rsidR="00CB7D21" w:rsidRPr="0003286C" w:rsidRDefault="00CB7D21" w:rsidP="00EA230D">
      <w:pPr>
        <w:pStyle w:val="Bullet1"/>
        <w:rPr>
          <w:highlight w:val="yellow"/>
        </w:rPr>
      </w:pPr>
      <w:r w:rsidRPr="0003286C">
        <w:rPr>
          <w:highlight w:val="yellow"/>
        </w:rPr>
        <w:t>Issues/risks</w:t>
      </w:r>
    </w:p>
    <w:p w14:paraId="54260068" w14:textId="77777777" w:rsidR="00CB7D21" w:rsidRPr="0003286C" w:rsidRDefault="00CB7D21" w:rsidP="00EA230D">
      <w:pPr>
        <w:pStyle w:val="Bullet1"/>
        <w:rPr>
          <w:highlight w:val="yellow"/>
        </w:rPr>
      </w:pPr>
      <w:r w:rsidRPr="0003286C">
        <w:rPr>
          <w:highlight w:val="yellow"/>
        </w:rPr>
        <w:t>Community engagement</w:t>
      </w:r>
    </w:p>
    <w:p w14:paraId="50EA7E9B" w14:textId="77777777" w:rsidR="00CB7D21" w:rsidRPr="00EA230D" w:rsidRDefault="00CB7D21" w:rsidP="00EA230D">
      <w:pPr>
        <w:pStyle w:val="DHHSbodyafterbullets"/>
      </w:pPr>
      <w:r w:rsidRPr="00EA230D">
        <w:rPr>
          <w:highlight w:val="yellow"/>
        </w:rPr>
        <w:t>In addition to the above, as part of the HRAR Extension monthly reporting template in the qualitative fields, requirement to provide good news stories demonstrating the change in residents/tenant’s life as a result of the HRAR program.</w:t>
      </w:r>
    </w:p>
    <w:p w14:paraId="4F07DE91" w14:textId="77777777" w:rsidR="00CB7D21" w:rsidRPr="00EA230D" w:rsidRDefault="00CB7D21" w:rsidP="00EA230D">
      <w:pPr>
        <w:pStyle w:val="DHHSbody"/>
      </w:pPr>
      <w:r w:rsidRPr="00EA230D">
        <w:t>Potential matters of concern to raise with HRAR Division Director:</w:t>
      </w:r>
    </w:p>
    <w:p w14:paraId="7BF24DD8" w14:textId="77777777" w:rsidR="00CB7D21" w:rsidRPr="00EA230D" w:rsidRDefault="00CB7D21" w:rsidP="00EA230D">
      <w:pPr>
        <w:pStyle w:val="Bullet1"/>
      </w:pPr>
      <w:r w:rsidRPr="00EA230D">
        <w:t>Adherence to public health directions, including failure to have a COVIDSafe Plan in place where applicable</w:t>
      </w:r>
    </w:p>
    <w:p w14:paraId="19A14A43" w14:textId="77777777" w:rsidR="00CB7D21" w:rsidRPr="00EA230D" w:rsidRDefault="00CB7D21" w:rsidP="00EA230D">
      <w:pPr>
        <w:pStyle w:val="Bullet1"/>
      </w:pPr>
      <w:r w:rsidRPr="00EA230D">
        <w:t>General matters that are not COVID-19 specific (e.g. related to resident or worker safety or quality of accommodation)</w:t>
      </w:r>
    </w:p>
    <w:p w14:paraId="5BAAAA4E" w14:textId="77777777" w:rsidR="00CB7D21" w:rsidRPr="00EA230D" w:rsidRDefault="00CB7D21" w:rsidP="00EA230D">
      <w:pPr>
        <w:pStyle w:val="Bullet1"/>
      </w:pPr>
      <w:r w:rsidRPr="00EA230D">
        <w:t>Limited level of engagement by proprietor or landlord to engage or cooperate</w:t>
      </w:r>
    </w:p>
    <w:p w14:paraId="12087733" w14:textId="09AA329F" w:rsidR="00541C69" w:rsidRPr="0003286C" w:rsidRDefault="00CB7D21" w:rsidP="00ED2953">
      <w:pPr>
        <w:pStyle w:val="Bullet1"/>
      </w:pPr>
      <w:r w:rsidRPr="00EA230D">
        <w:t>Level of regulatory compliance (whether or not related to COVID safety)</w:t>
      </w:r>
    </w:p>
    <w:p w14:paraId="673A3DAA" w14:textId="77777777" w:rsidR="00CB7D21" w:rsidRPr="00EA230D" w:rsidRDefault="00CB7D21" w:rsidP="00EA230D">
      <w:pPr>
        <w:pStyle w:val="Heading2"/>
      </w:pPr>
      <w:bookmarkStart w:id="56" w:name="_Toc93219789"/>
      <w:bookmarkStart w:id="57" w:name="_Toc93905402"/>
      <w:r w:rsidRPr="00EA230D">
        <w:t>Data and Reporting Framework</w:t>
      </w:r>
      <w:bookmarkEnd w:id="56"/>
      <w:bookmarkEnd w:id="57"/>
    </w:p>
    <w:p w14:paraId="405C7F12" w14:textId="77777777" w:rsidR="00CB7D21" w:rsidRPr="00EA230D" w:rsidRDefault="00CB7D21" w:rsidP="00EA230D">
      <w:pPr>
        <w:pStyle w:val="DHHSbody"/>
      </w:pPr>
      <w:r w:rsidRPr="00EA230D">
        <w:t>To demonstrate achievement of the program objectives and the impact of the activities undertaken, the reporting domains, activities, outcome measures and metrics are noted in the tables on the following pages.  </w:t>
      </w:r>
    </w:p>
    <w:p w14:paraId="3783A6FD" w14:textId="77777777" w:rsidR="00CB7D21" w:rsidRPr="00EA230D" w:rsidRDefault="00CB7D21" w:rsidP="00EA230D">
      <w:pPr>
        <w:pStyle w:val="DHHSbody"/>
      </w:pPr>
      <w:r w:rsidRPr="00EA230D">
        <w:t>The data output will both be in a qualitative and quantitative format to enable comparative data analysis, enable commentary about key matters to be provided and ensure good news stories and case studies are captured. </w:t>
      </w:r>
    </w:p>
    <w:p w14:paraId="50A9FC65" w14:textId="77777777" w:rsidR="00CB7D21" w:rsidRPr="00084288" w:rsidRDefault="00CB7D21" w:rsidP="00CB7D21">
      <w:pPr>
        <w:pStyle w:val="Heading2"/>
        <w:rPr>
          <w:bCs/>
          <w:lang w:eastAsia="en-AU"/>
        </w:rPr>
      </w:pPr>
      <w:bookmarkStart w:id="58" w:name="_Toc93219790"/>
      <w:bookmarkStart w:id="59" w:name="_Toc93905403"/>
      <w:r w:rsidRPr="00084288">
        <w:rPr>
          <w:lang w:eastAsia="en-AU"/>
        </w:rPr>
        <w:t>Reporting frequency and governance</w:t>
      </w:r>
      <w:bookmarkEnd w:id="58"/>
      <w:bookmarkEnd w:id="59"/>
      <w:r w:rsidRPr="00084288">
        <w:rPr>
          <w:bCs/>
          <w:lang w:eastAsia="en-AU"/>
        </w:rPr>
        <w:t> </w:t>
      </w:r>
    </w:p>
    <w:p w14:paraId="0636AF47" w14:textId="7A4EDED8" w:rsidR="00CB7D21" w:rsidRPr="00EA230D" w:rsidRDefault="00CB7D21" w:rsidP="00EA230D">
      <w:pPr>
        <w:pStyle w:val="DHHSbody"/>
      </w:pPr>
      <w:r w:rsidRPr="00EA230D">
        <w:t>All Lead Providers will continue to undertake required end of month reporting for submission on or by the 14th of each month. This will enable clarity in reporting requirements, promote consistency in reporting practices and ensure that robust data analysis is able to be undertaken through comparison of like data sets and timeframes. Data and reporting will provide the capacity to understand how the program is progressing and to identify and resolve issues that may arise during its operation. </w:t>
      </w:r>
    </w:p>
    <w:p w14:paraId="7AEEF129" w14:textId="77777777" w:rsidR="00CB7D21" w:rsidRPr="0003286C" w:rsidRDefault="00CB7D21" w:rsidP="00EA230D">
      <w:pPr>
        <w:pStyle w:val="DHHStablecaption"/>
        <w:rPr>
          <w:highlight w:val="yellow"/>
        </w:rPr>
      </w:pPr>
      <w:r w:rsidRPr="0003286C">
        <w:rPr>
          <w:highlight w:val="yellow"/>
        </w:rPr>
        <w:t>Reporting Schedule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Caption w:val="Reporting Schedule"/>
        <w:tblDescription w:val="Report; Due for submission by Lead Provider:"/>
      </w:tblPr>
      <w:tblGrid>
        <w:gridCol w:w="3398"/>
        <w:gridCol w:w="4394"/>
      </w:tblGrid>
      <w:tr w:rsidR="00CB7D21" w:rsidRPr="0003286C" w14:paraId="662F4957" w14:textId="77777777" w:rsidTr="00717ED8">
        <w:tc>
          <w:tcPr>
            <w:tcW w:w="3398" w:type="dxa"/>
            <w:shd w:val="clear" w:color="auto" w:fill="auto"/>
          </w:tcPr>
          <w:p w14:paraId="3BA69ED7" w14:textId="77777777" w:rsidR="00CB7D21" w:rsidRPr="00EA230D" w:rsidRDefault="00CB7D21" w:rsidP="005325AE">
            <w:pPr>
              <w:pStyle w:val="DHHStablecolhead"/>
              <w:rPr>
                <w:highlight w:val="yellow"/>
              </w:rPr>
            </w:pPr>
            <w:r w:rsidRPr="00EA230D">
              <w:rPr>
                <w:highlight w:val="yellow"/>
              </w:rPr>
              <w:t>Report</w:t>
            </w:r>
          </w:p>
        </w:tc>
        <w:tc>
          <w:tcPr>
            <w:tcW w:w="4394" w:type="dxa"/>
            <w:shd w:val="clear" w:color="auto" w:fill="auto"/>
          </w:tcPr>
          <w:p w14:paraId="02287C25" w14:textId="77777777" w:rsidR="00CB7D21" w:rsidRPr="00EA230D" w:rsidRDefault="00CB7D21" w:rsidP="005325AE">
            <w:pPr>
              <w:pStyle w:val="DHHStablecolhead"/>
              <w:rPr>
                <w:highlight w:val="yellow"/>
              </w:rPr>
            </w:pPr>
            <w:r w:rsidRPr="00EA230D">
              <w:rPr>
                <w:highlight w:val="yellow"/>
              </w:rPr>
              <w:t>Due for submission by Lead Provider</w:t>
            </w:r>
          </w:p>
        </w:tc>
      </w:tr>
      <w:tr w:rsidR="00CB7D21" w:rsidRPr="0003286C" w14:paraId="41376E9F" w14:textId="77777777" w:rsidTr="00717ED8">
        <w:tc>
          <w:tcPr>
            <w:tcW w:w="3398" w:type="dxa"/>
          </w:tcPr>
          <w:p w14:paraId="3F1D8DC3" w14:textId="77777777" w:rsidR="00CB7D21" w:rsidRPr="00EA230D" w:rsidRDefault="00CB7D21" w:rsidP="00EA230D">
            <w:pPr>
              <w:pStyle w:val="DHHStabletext"/>
              <w:rPr>
                <w:highlight w:val="yellow"/>
              </w:rPr>
            </w:pPr>
            <w:r w:rsidRPr="00EA230D">
              <w:rPr>
                <w:highlight w:val="yellow"/>
              </w:rPr>
              <w:t>Acquittal Template</w:t>
            </w:r>
          </w:p>
        </w:tc>
        <w:tc>
          <w:tcPr>
            <w:tcW w:w="4394" w:type="dxa"/>
          </w:tcPr>
          <w:p w14:paraId="6BD445AF" w14:textId="77777777" w:rsidR="00CB7D21" w:rsidRPr="00EA230D" w:rsidRDefault="00CB7D21" w:rsidP="00EA230D">
            <w:pPr>
              <w:pStyle w:val="DHHStabletext"/>
              <w:rPr>
                <w:highlight w:val="yellow"/>
              </w:rPr>
            </w:pPr>
            <w:r w:rsidRPr="00EA230D">
              <w:rPr>
                <w:highlight w:val="yellow"/>
              </w:rPr>
              <w:t>14 February 2022</w:t>
            </w:r>
          </w:p>
          <w:p w14:paraId="49822E3B" w14:textId="77777777" w:rsidR="00CB7D21" w:rsidRPr="00EA230D" w:rsidRDefault="00CB7D21" w:rsidP="00EA230D">
            <w:pPr>
              <w:pStyle w:val="DHHStabletext"/>
              <w:rPr>
                <w:highlight w:val="yellow"/>
              </w:rPr>
            </w:pPr>
            <w:r w:rsidRPr="00EA230D">
              <w:rPr>
                <w:highlight w:val="yellow"/>
              </w:rPr>
              <w:t>14 March 2022</w:t>
            </w:r>
          </w:p>
          <w:p w14:paraId="22345764" w14:textId="77777777" w:rsidR="00CB7D21" w:rsidRPr="00EA230D" w:rsidRDefault="00CB7D21" w:rsidP="00EA230D">
            <w:pPr>
              <w:pStyle w:val="DHHStabletext"/>
              <w:rPr>
                <w:highlight w:val="yellow"/>
              </w:rPr>
            </w:pPr>
            <w:r w:rsidRPr="00EA230D">
              <w:rPr>
                <w:highlight w:val="yellow"/>
              </w:rPr>
              <w:t>14 April 2022</w:t>
            </w:r>
          </w:p>
          <w:p w14:paraId="4D095585" w14:textId="77777777" w:rsidR="00CB7D21" w:rsidRPr="00EA230D" w:rsidRDefault="00CB7D21" w:rsidP="00EA230D">
            <w:pPr>
              <w:pStyle w:val="DHHStabletext"/>
              <w:rPr>
                <w:highlight w:val="yellow"/>
              </w:rPr>
            </w:pPr>
            <w:r w:rsidRPr="00EA230D">
              <w:rPr>
                <w:highlight w:val="yellow"/>
              </w:rPr>
              <w:t>16 May 2022</w:t>
            </w:r>
          </w:p>
          <w:p w14:paraId="7A22A003" w14:textId="77777777" w:rsidR="00CB7D21" w:rsidRPr="00EA230D" w:rsidRDefault="00CB7D21" w:rsidP="00EA230D">
            <w:pPr>
              <w:pStyle w:val="DHHStabletext"/>
              <w:rPr>
                <w:highlight w:val="yellow"/>
              </w:rPr>
            </w:pPr>
            <w:r w:rsidRPr="00EA230D">
              <w:rPr>
                <w:highlight w:val="yellow"/>
              </w:rPr>
              <w:t>14 June 2022</w:t>
            </w:r>
          </w:p>
          <w:p w14:paraId="1D6184FC" w14:textId="77777777" w:rsidR="00CB7D21" w:rsidRPr="00EA230D" w:rsidRDefault="00CB7D21" w:rsidP="00EA230D">
            <w:pPr>
              <w:pStyle w:val="DHHStabletext"/>
              <w:rPr>
                <w:highlight w:val="yellow"/>
              </w:rPr>
            </w:pPr>
            <w:r w:rsidRPr="00EA230D">
              <w:rPr>
                <w:highlight w:val="yellow"/>
              </w:rPr>
              <w:t>14 July 2022</w:t>
            </w:r>
          </w:p>
        </w:tc>
      </w:tr>
      <w:tr w:rsidR="00CB7D21" w:rsidRPr="0003286C" w14:paraId="5AB17D6D" w14:textId="77777777" w:rsidTr="00717ED8">
        <w:tc>
          <w:tcPr>
            <w:tcW w:w="3398" w:type="dxa"/>
          </w:tcPr>
          <w:p w14:paraId="069B90A6" w14:textId="77777777" w:rsidR="00CB7D21" w:rsidRPr="00EA230D" w:rsidRDefault="00CB7D21" w:rsidP="00EA230D">
            <w:pPr>
              <w:pStyle w:val="DHHStabletext"/>
              <w:rPr>
                <w:highlight w:val="yellow"/>
              </w:rPr>
            </w:pPr>
            <w:r w:rsidRPr="00EA230D">
              <w:rPr>
                <w:highlight w:val="yellow"/>
              </w:rPr>
              <w:lastRenderedPageBreak/>
              <w:t>Prevention and Preparedness Report</w:t>
            </w:r>
          </w:p>
          <w:p w14:paraId="1908DD57" w14:textId="77777777" w:rsidR="00CB7D21" w:rsidRPr="00EA230D" w:rsidRDefault="00CB7D21" w:rsidP="00EA230D">
            <w:pPr>
              <w:pStyle w:val="DHHStabletext"/>
              <w:rPr>
                <w:highlight w:val="yellow"/>
              </w:rPr>
            </w:pPr>
            <w:r w:rsidRPr="00EA230D">
              <w:rPr>
                <w:highlight w:val="yellow"/>
              </w:rPr>
              <w:t>* Including catchment partnership activities</w:t>
            </w:r>
          </w:p>
        </w:tc>
        <w:tc>
          <w:tcPr>
            <w:tcW w:w="4394" w:type="dxa"/>
          </w:tcPr>
          <w:p w14:paraId="04200C74" w14:textId="77777777" w:rsidR="00CB7D21" w:rsidRPr="00EA230D" w:rsidRDefault="00CB7D21" w:rsidP="00EA230D">
            <w:pPr>
              <w:pStyle w:val="DHHStabletext"/>
              <w:rPr>
                <w:highlight w:val="yellow"/>
              </w:rPr>
            </w:pPr>
            <w:r w:rsidRPr="00EA230D">
              <w:rPr>
                <w:highlight w:val="yellow"/>
              </w:rPr>
              <w:t>14 February 2022</w:t>
            </w:r>
          </w:p>
          <w:p w14:paraId="5C8A7A4E" w14:textId="77777777" w:rsidR="00CB7D21" w:rsidRPr="00EA230D" w:rsidRDefault="00CB7D21" w:rsidP="00EA230D">
            <w:pPr>
              <w:pStyle w:val="DHHStabletext"/>
              <w:rPr>
                <w:highlight w:val="yellow"/>
              </w:rPr>
            </w:pPr>
            <w:r w:rsidRPr="00EA230D">
              <w:rPr>
                <w:highlight w:val="yellow"/>
              </w:rPr>
              <w:t>14 March 2022</w:t>
            </w:r>
          </w:p>
          <w:p w14:paraId="4782FD11" w14:textId="77777777" w:rsidR="00CB7D21" w:rsidRPr="00EA230D" w:rsidRDefault="00CB7D21" w:rsidP="00EA230D">
            <w:pPr>
              <w:pStyle w:val="DHHStabletext"/>
              <w:rPr>
                <w:highlight w:val="yellow"/>
              </w:rPr>
            </w:pPr>
            <w:r w:rsidRPr="00EA230D">
              <w:rPr>
                <w:highlight w:val="yellow"/>
              </w:rPr>
              <w:t>14 April 2022</w:t>
            </w:r>
          </w:p>
          <w:p w14:paraId="07336340" w14:textId="77777777" w:rsidR="00CB7D21" w:rsidRPr="00EA230D" w:rsidRDefault="00CB7D21" w:rsidP="00EA230D">
            <w:pPr>
              <w:pStyle w:val="DHHStabletext"/>
              <w:rPr>
                <w:highlight w:val="yellow"/>
              </w:rPr>
            </w:pPr>
            <w:r w:rsidRPr="00EA230D">
              <w:rPr>
                <w:highlight w:val="yellow"/>
              </w:rPr>
              <w:t>16 May 2022</w:t>
            </w:r>
          </w:p>
          <w:p w14:paraId="59733B35" w14:textId="77777777" w:rsidR="00CB7D21" w:rsidRPr="00EA230D" w:rsidRDefault="00CB7D21" w:rsidP="00EA230D">
            <w:pPr>
              <w:pStyle w:val="DHHStabletext"/>
              <w:rPr>
                <w:highlight w:val="yellow"/>
              </w:rPr>
            </w:pPr>
            <w:r w:rsidRPr="00EA230D">
              <w:rPr>
                <w:highlight w:val="yellow"/>
              </w:rPr>
              <w:t>14 June 2022</w:t>
            </w:r>
          </w:p>
          <w:p w14:paraId="34B3397F" w14:textId="77777777" w:rsidR="00CB7D21" w:rsidRPr="00EA230D" w:rsidRDefault="00CB7D21" w:rsidP="00EA230D">
            <w:pPr>
              <w:pStyle w:val="DHHStabletext"/>
              <w:rPr>
                <w:highlight w:val="yellow"/>
              </w:rPr>
            </w:pPr>
            <w:r w:rsidRPr="00EA230D">
              <w:rPr>
                <w:highlight w:val="yellow"/>
              </w:rPr>
              <w:t>14 July 2022</w:t>
            </w:r>
          </w:p>
        </w:tc>
      </w:tr>
      <w:tr w:rsidR="00CB7D21" w:rsidRPr="0003286C" w14:paraId="44D3F648" w14:textId="77777777" w:rsidTr="00717ED8">
        <w:tc>
          <w:tcPr>
            <w:tcW w:w="3398" w:type="dxa"/>
          </w:tcPr>
          <w:p w14:paraId="66259297" w14:textId="77777777" w:rsidR="00CB7D21" w:rsidRPr="00EA230D" w:rsidRDefault="00CB7D21" w:rsidP="00EA230D">
            <w:pPr>
              <w:pStyle w:val="DHHStabletext"/>
              <w:rPr>
                <w:highlight w:val="yellow"/>
              </w:rPr>
            </w:pPr>
            <w:r w:rsidRPr="00EA230D">
              <w:rPr>
                <w:highlight w:val="yellow"/>
              </w:rPr>
              <w:t>Risk Rating</w:t>
            </w:r>
          </w:p>
          <w:p w14:paraId="4A759C72" w14:textId="77777777" w:rsidR="00CB7D21" w:rsidRPr="00EA230D" w:rsidRDefault="00CB7D21" w:rsidP="00EA230D">
            <w:pPr>
              <w:pStyle w:val="DHHStabletext"/>
              <w:rPr>
                <w:highlight w:val="yellow"/>
              </w:rPr>
            </w:pPr>
            <w:r w:rsidRPr="00EA230D">
              <w:rPr>
                <w:highlight w:val="yellow"/>
              </w:rPr>
              <w:t xml:space="preserve">NB: it is not expected that the risk rating for all facility/dwellings will reduce to low risk </w:t>
            </w:r>
          </w:p>
        </w:tc>
        <w:tc>
          <w:tcPr>
            <w:tcW w:w="4394" w:type="dxa"/>
          </w:tcPr>
          <w:p w14:paraId="1CFFA958" w14:textId="77777777" w:rsidR="00CB7D21" w:rsidRPr="00EA230D" w:rsidRDefault="00CB7D21" w:rsidP="00EA230D">
            <w:pPr>
              <w:pStyle w:val="DHHStabletext"/>
              <w:rPr>
                <w:highlight w:val="yellow"/>
              </w:rPr>
            </w:pPr>
            <w:r w:rsidRPr="00EA230D">
              <w:rPr>
                <w:highlight w:val="yellow"/>
              </w:rPr>
              <w:t>Any change to the rating already provided for each facility/dwelling to be provided monthly:</w:t>
            </w:r>
          </w:p>
          <w:p w14:paraId="171045FA" w14:textId="77777777" w:rsidR="00CB7D21" w:rsidRPr="00EA230D" w:rsidRDefault="00CB7D21" w:rsidP="00EA230D">
            <w:pPr>
              <w:pStyle w:val="DHHStabletext"/>
              <w:rPr>
                <w:highlight w:val="yellow"/>
              </w:rPr>
            </w:pPr>
            <w:r w:rsidRPr="00EA230D">
              <w:rPr>
                <w:highlight w:val="yellow"/>
              </w:rPr>
              <w:t>14 Feb 2022</w:t>
            </w:r>
          </w:p>
          <w:p w14:paraId="6659335A" w14:textId="77777777" w:rsidR="00CB7D21" w:rsidRPr="00EA230D" w:rsidRDefault="00CB7D21" w:rsidP="00EA230D">
            <w:pPr>
              <w:pStyle w:val="DHHStabletext"/>
              <w:rPr>
                <w:highlight w:val="yellow"/>
              </w:rPr>
            </w:pPr>
            <w:r w:rsidRPr="00EA230D">
              <w:rPr>
                <w:highlight w:val="yellow"/>
              </w:rPr>
              <w:t>14 March 2022</w:t>
            </w:r>
          </w:p>
          <w:p w14:paraId="0713F1FE" w14:textId="77777777" w:rsidR="00CB7D21" w:rsidRPr="00EA230D" w:rsidRDefault="00CB7D21" w:rsidP="00EA230D">
            <w:pPr>
              <w:pStyle w:val="DHHStabletext"/>
              <w:rPr>
                <w:highlight w:val="yellow"/>
              </w:rPr>
            </w:pPr>
            <w:r w:rsidRPr="00EA230D">
              <w:rPr>
                <w:highlight w:val="yellow"/>
              </w:rPr>
              <w:t>14 April 2022</w:t>
            </w:r>
          </w:p>
          <w:p w14:paraId="23375F23" w14:textId="77777777" w:rsidR="00CB7D21" w:rsidRPr="00EA230D" w:rsidRDefault="00CB7D21" w:rsidP="00EA230D">
            <w:pPr>
              <w:pStyle w:val="DHHStabletext"/>
              <w:rPr>
                <w:highlight w:val="yellow"/>
              </w:rPr>
            </w:pPr>
            <w:r w:rsidRPr="00EA230D">
              <w:rPr>
                <w:highlight w:val="yellow"/>
              </w:rPr>
              <w:t>16 May 2022</w:t>
            </w:r>
          </w:p>
          <w:p w14:paraId="1E498E98" w14:textId="77777777" w:rsidR="00CB7D21" w:rsidRPr="00EA230D" w:rsidRDefault="00CB7D21" w:rsidP="00EA230D">
            <w:pPr>
              <w:pStyle w:val="DHHStabletext"/>
              <w:rPr>
                <w:highlight w:val="yellow"/>
              </w:rPr>
            </w:pPr>
            <w:r w:rsidRPr="00EA230D">
              <w:rPr>
                <w:highlight w:val="yellow"/>
              </w:rPr>
              <w:t>14 June 2022</w:t>
            </w:r>
          </w:p>
          <w:p w14:paraId="06F01EA3" w14:textId="77777777" w:rsidR="00CB7D21" w:rsidRPr="00EA230D" w:rsidRDefault="00CB7D21" w:rsidP="00EA230D">
            <w:pPr>
              <w:pStyle w:val="DHHStabletext"/>
            </w:pPr>
            <w:r w:rsidRPr="00EA230D">
              <w:rPr>
                <w:highlight w:val="yellow"/>
              </w:rPr>
              <w:t>14 July 2022</w:t>
            </w:r>
          </w:p>
        </w:tc>
      </w:tr>
    </w:tbl>
    <w:p w14:paraId="512608A7" w14:textId="77777777" w:rsidR="00CB7D21" w:rsidRPr="0003286C" w:rsidRDefault="00CB7D21" w:rsidP="00EA230D">
      <w:pPr>
        <w:pStyle w:val="DHHSbodyafterbullets"/>
        <w:rPr>
          <w:lang w:eastAsia="en-AU"/>
        </w:rPr>
      </w:pPr>
      <w:r w:rsidRPr="0003286C">
        <w:rPr>
          <w:lang w:eastAsia="en-AU"/>
        </w:rPr>
        <w:t>State-wide data representation and analysis can be used for program evaluation and provision of advice to key stakeholders and government around program progress, outcomes and impact, and determine whether program objectives are being achieved. This will support client, community and stakeholder confidence in the efficacy and safety achieved through the initiatives of the program. </w:t>
      </w:r>
    </w:p>
    <w:p w14:paraId="3B26BE64" w14:textId="35DE358D" w:rsidR="00CB7D21" w:rsidRPr="00EA230D" w:rsidRDefault="00CB7D21" w:rsidP="00EA230D">
      <w:pPr>
        <w:pStyle w:val="Heading2"/>
      </w:pPr>
      <w:bookmarkStart w:id="60" w:name="_Toc93219791"/>
      <w:bookmarkStart w:id="61" w:name="_Toc93905404"/>
      <w:r w:rsidRPr="00EA230D">
        <w:t>Evaluation</w:t>
      </w:r>
      <w:bookmarkEnd w:id="60"/>
      <w:bookmarkEnd w:id="61"/>
    </w:p>
    <w:p w14:paraId="5862E65B" w14:textId="77777777" w:rsidR="00CB7D21" w:rsidRPr="00EA230D" w:rsidRDefault="00CB7D21" w:rsidP="00EA230D">
      <w:pPr>
        <w:pStyle w:val="DHHSbody"/>
      </w:pPr>
      <w:r w:rsidRPr="00EA230D">
        <w:t>The Data and Reporting Framework will enable data collection and reporting over time that will support an evaluation of the future program should it be endorsed and implemented. The future evaluation will ascertain the efficacy and efficiency of the program in meeting its core goals and objectives. The evaluation process will be further supported by independent research and capture of the client voice.</w:t>
      </w:r>
    </w:p>
    <w:p w14:paraId="36006199" w14:textId="77777777" w:rsidR="00F84C63" w:rsidRDefault="00F84C63">
      <w:pPr>
        <w:spacing w:after="0" w:line="240" w:lineRule="auto"/>
        <w:rPr>
          <w:b/>
          <w:color w:val="201547"/>
          <w:sz w:val="32"/>
          <w:szCs w:val="28"/>
          <w:lang w:eastAsia="en-AU"/>
        </w:rPr>
      </w:pPr>
      <w:bookmarkStart w:id="62" w:name="_Toc93219792"/>
      <w:r>
        <w:rPr>
          <w:lang w:eastAsia="en-AU"/>
        </w:rPr>
        <w:br w:type="page"/>
      </w:r>
    </w:p>
    <w:p w14:paraId="580FED8E" w14:textId="3D2455E7" w:rsidR="0003286C" w:rsidRDefault="0003286C" w:rsidP="0003286C">
      <w:pPr>
        <w:pStyle w:val="Heading2"/>
        <w:rPr>
          <w:lang w:eastAsia="en-AU"/>
        </w:rPr>
      </w:pPr>
      <w:bookmarkStart w:id="63" w:name="_Toc93905405"/>
      <w:r>
        <w:rPr>
          <w:lang w:eastAsia="en-AU"/>
        </w:rPr>
        <w:lastRenderedPageBreak/>
        <w:t>Reporting Metrics</w:t>
      </w:r>
      <w:bookmarkEnd w:id="62"/>
      <w:bookmarkEnd w:id="63"/>
    </w:p>
    <w:p w14:paraId="76193EC5" w14:textId="77777777" w:rsidR="0003286C" w:rsidRPr="009376ED" w:rsidRDefault="0003286C" w:rsidP="009376ED">
      <w:pPr>
        <w:pStyle w:val="DHHStablecaption"/>
      </w:pPr>
      <w:r w:rsidRPr="009376ED">
        <w:t xml:space="preserve">Catchment </w:t>
      </w:r>
      <w:r w:rsidRPr="009376ED">
        <w:rPr>
          <w:highlight w:val="yellow"/>
        </w:rPr>
        <w:t>Partnership</w:t>
      </w:r>
    </w:p>
    <w:tbl>
      <w:tblPr>
        <w:tblW w:w="5106" w:type="pct"/>
        <w:tblInd w:w="-5" w:type="dxa"/>
        <w:tblCellMar>
          <w:left w:w="57" w:type="dxa"/>
          <w:right w:w="57" w:type="dxa"/>
        </w:tblCellMar>
        <w:tblLook w:val="04A0" w:firstRow="1" w:lastRow="0" w:firstColumn="1" w:lastColumn="0" w:noHBand="0" w:noVBand="1"/>
        <w:tblCaption w:val="Catchment Partnership"/>
        <w:tblDescription w:val="Activity; Outcomes; Metrics; Method of collection"/>
      </w:tblPr>
      <w:tblGrid>
        <w:gridCol w:w="1876"/>
        <w:gridCol w:w="3391"/>
        <w:gridCol w:w="3094"/>
        <w:gridCol w:w="2317"/>
      </w:tblGrid>
      <w:tr w:rsidR="0003286C" w:rsidRPr="0003286C" w14:paraId="03E0407E" w14:textId="77777777" w:rsidTr="005325AE">
        <w:trPr>
          <w:trHeight w:val="290"/>
        </w:trPr>
        <w:tc>
          <w:tcPr>
            <w:tcW w:w="878" w:type="pct"/>
            <w:tcBorders>
              <w:top w:val="single" w:sz="4" w:space="0" w:color="auto"/>
              <w:left w:val="single" w:sz="4" w:space="0" w:color="auto"/>
              <w:bottom w:val="single" w:sz="4" w:space="0" w:color="808080" w:themeColor="background1" w:themeShade="80"/>
              <w:right w:val="single" w:sz="4" w:space="0" w:color="auto"/>
            </w:tcBorders>
            <w:shd w:val="clear" w:color="auto" w:fill="auto"/>
            <w:noWrap/>
            <w:vAlign w:val="bottom"/>
            <w:hideMark/>
          </w:tcPr>
          <w:p w14:paraId="4189F1C5" w14:textId="77777777" w:rsidR="0003286C" w:rsidRPr="0003286C" w:rsidRDefault="0003286C" w:rsidP="005325AE">
            <w:pPr>
              <w:pStyle w:val="DHHStablecolhead"/>
            </w:pPr>
            <w:r w:rsidRPr="0003286C">
              <w:t>Activity</w:t>
            </w:r>
          </w:p>
        </w:tc>
        <w:tc>
          <w:tcPr>
            <w:tcW w:w="1588" w:type="pct"/>
            <w:tcBorders>
              <w:top w:val="single" w:sz="4" w:space="0" w:color="auto"/>
              <w:left w:val="nil"/>
              <w:bottom w:val="single" w:sz="4" w:space="0" w:color="808080" w:themeColor="background1" w:themeShade="80"/>
              <w:right w:val="single" w:sz="4" w:space="0" w:color="auto"/>
            </w:tcBorders>
            <w:shd w:val="clear" w:color="auto" w:fill="auto"/>
            <w:noWrap/>
            <w:vAlign w:val="bottom"/>
            <w:hideMark/>
          </w:tcPr>
          <w:p w14:paraId="640CE31D" w14:textId="77777777" w:rsidR="0003286C" w:rsidRPr="0003286C" w:rsidRDefault="0003286C" w:rsidP="005325AE">
            <w:pPr>
              <w:pStyle w:val="DHHStablecolhead"/>
            </w:pPr>
            <w:r w:rsidRPr="0003286C">
              <w:t>Outcomes</w:t>
            </w:r>
          </w:p>
        </w:tc>
        <w:tc>
          <w:tcPr>
            <w:tcW w:w="1449" w:type="pct"/>
            <w:tcBorders>
              <w:top w:val="single" w:sz="4" w:space="0" w:color="auto"/>
              <w:left w:val="nil"/>
              <w:bottom w:val="single" w:sz="4" w:space="0" w:color="808080" w:themeColor="background1" w:themeShade="80"/>
              <w:right w:val="single" w:sz="4" w:space="0" w:color="auto"/>
            </w:tcBorders>
            <w:shd w:val="clear" w:color="auto" w:fill="auto"/>
            <w:noWrap/>
            <w:vAlign w:val="bottom"/>
            <w:hideMark/>
          </w:tcPr>
          <w:p w14:paraId="5D71B37D" w14:textId="77777777" w:rsidR="0003286C" w:rsidRPr="0003286C" w:rsidRDefault="0003286C" w:rsidP="005325AE">
            <w:pPr>
              <w:pStyle w:val="DHHStablecolhead"/>
            </w:pPr>
            <w:r w:rsidRPr="0003286C">
              <w:t>Metrics</w:t>
            </w:r>
          </w:p>
        </w:tc>
        <w:tc>
          <w:tcPr>
            <w:tcW w:w="1085" w:type="pct"/>
            <w:tcBorders>
              <w:top w:val="single" w:sz="4" w:space="0" w:color="auto"/>
              <w:left w:val="nil"/>
              <w:bottom w:val="single" w:sz="4" w:space="0" w:color="808080" w:themeColor="background1" w:themeShade="80"/>
              <w:right w:val="single" w:sz="4" w:space="0" w:color="auto"/>
            </w:tcBorders>
            <w:shd w:val="clear" w:color="auto" w:fill="auto"/>
            <w:noWrap/>
            <w:vAlign w:val="bottom"/>
            <w:hideMark/>
          </w:tcPr>
          <w:p w14:paraId="6DFFA816" w14:textId="77777777" w:rsidR="0003286C" w:rsidRPr="0003286C" w:rsidRDefault="0003286C" w:rsidP="005325AE">
            <w:pPr>
              <w:pStyle w:val="DHHStablecolhead"/>
            </w:pPr>
            <w:r w:rsidRPr="0003286C">
              <w:t>Method of collection</w:t>
            </w:r>
          </w:p>
        </w:tc>
      </w:tr>
      <w:tr w:rsidR="00EA230D" w:rsidRPr="0003286C" w14:paraId="64D8BF49" w14:textId="77777777" w:rsidTr="00B43B56">
        <w:trPr>
          <w:trHeight w:val="1887"/>
        </w:trPr>
        <w:tc>
          <w:tcPr>
            <w:tcW w:w="878" w:type="pct"/>
            <w:tcBorders>
              <w:top w:val="single" w:sz="4" w:space="0" w:color="808080" w:themeColor="background1" w:themeShade="80"/>
              <w:left w:val="single" w:sz="4" w:space="0" w:color="808080" w:themeColor="background1" w:themeShade="80"/>
              <w:bottom w:val="single" w:sz="4" w:space="0" w:color="FFFFFF" w:themeColor="background1"/>
              <w:right w:val="single" w:sz="4" w:space="0" w:color="808080" w:themeColor="background1" w:themeShade="80"/>
            </w:tcBorders>
            <w:shd w:val="clear" w:color="auto" w:fill="auto"/>
            <w:hideMark/>
          </w:tcPr>
          <w:p w14:paraId="4D16D5D9" w14:textId="77777777" w:rsidR="00EA230D" w:rsidRPr="00EA230D" w:rsidRDefault="00EA230D" w:rsidP="00EA230D">
            <w:pPr>
              <w:pStyle w:val="DHHStabletext"/>
              <w:rPr>
                <w:highlight w:val="yellow"/>
              </w:rPr>
            </w:pPr>
            <w:r w:rsidRPr="00EA230D">
              <w:rPr>
                <w:highlight w:val="yellow"/>
              </w:rPr>
              <w:t>To provide a local area approach for the delivery of these services, with delineated roles and responsibilities between agencies and government bodies involved in service delivery and governance of the program.</w:t>
            </w:r>
          </w:p>
          <w:p w14:paraId="0016C8E4" w14:textId="77777777" w:rsidR="00EA230D" w:rsidRPr="00EA230D" w:rsidRDefault="00EA230D" w:rsidP="00EA230D">
            <w:pPr>
              <w:pStyle w:val="DHHStabletext"/>
              <w:rPr>
                <w:highlight w:val="yellow"/>
              </w:rPr>
            </w:pPr>
          </w:p>
        </w:tc>
        <w:tc>
          <w:tcPr>
            <w:tcW w:w="1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5258B41" w14:textId="77777777" w:rsidR="00EA230D" w:rsidRPr="00EA230D" w:rsidRDefault="00EA230D" w:rsidP="00EA230D">
            <w:pPr>
              <w:pStyle w:val="DHHStabletext"/>
            </w:pPr>
            <w:r w:rsidRPr="00EA230D">
              <w:rPr>
                <w:highlight w:val="yellow"/>
              </w:rPr>
              <w:t>Catchment partnerships are maintained using established methods of local engagement within catchment areas to inform tailored catchment engagement and service delivery objectives.</w:t>
            </w:r>
          </w:p>
        </w:tc>
        <w:tc>
          <w:tcPr>
            <w:tcW w:w="1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5BE77A" w14:textId="77777777" w:rsidR="00EA230D" w:rsidRPr="00EA230D" w:rsidRDefault="00EA230D" w:rsidP="00EA230D">
            <w:pPr>
              <w:pStyle w:val="Bullet1"/>
              <w:rPr>
                <w:highlight w:val="yellow"/>
              </w:rPr>
            </w:pPr>
            <w:r w:rsidRPr="00EA230D">
              <w:rPr>
                <w:highlight w:val="yellow"/>
              </w:rPr>
              <w:t>Catchment leadership groups maintained with diverse range of stakeholders</w:t>
            </w:r>
          </w:p>
          <w:p w14:paraId="3CCBF08E" w14:textId="77777777" w:rsidR="00EA230D" w:rsidRPr="00EA230D" w:rsidRDefault="00EA230D" w:rsidP="00EA230D">
            <w:pPr>
              <w:pStyle w:val="Bullet1"/>
            </w:pPr>
            <w:r w:rsidRPr="00EA230D">
              <w:rPr>
                <w:highlight w:val="yellow"/>
              </w:rPr>
              <w:t>Catchment leadership group meetings continue on a regular basis</w:t>
            </w:r>
          </w:p>
        </w:tc>
        <w:tc>
          <w:tcPr>
            <w:tcW w:w="10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6D858EF" w14:textId="77777777" w:rsidR="00EA230D" w:rsidRPr="00EA230D" w:rsidRDefault="00EA230D" w:rsidP="00EA230D">
            <w:pPr>
              <w:pStyle w:val="Bullet1"/>
            </w:pPr>
            <w:r w:rsidRPr="00EA230D">
              <w:rPr>
                <w:highlight w:val="yellow"/>
              </w:rPr>
              <w:t>Prevention &amp; Preparedness reporting template</w:t>
            </w:r>
          </w:p>
        </w:tc>
      </w:tr>
      <w:tr w:rsidR="00EA230D" w:rsidRPr="0003286C" w14:paraId="1A24122B" w14:textId="77777777" w:rsidTr="00B43B56">
        <w:trPr>
          <w:trHeight w:val="2230"/>
        </w:trPr>
        <w:tc>
          <w:tcPr>
            <w:tcW w:w="878" w:type="pct"/>
            <w:tcBorders>
              <w:top w:val="single" w:sz="4" w:space="0" w:color="FFFFFF" w:themeColor="background1"/>
              <w:left w:val="single" w:sz="4" w:space="0" w:color="808080" w:themeColor="background1" w:themeShade="80"/>
              <w:bottom w:val="single" w:sz="4" w:space="0" w:color="FFFFFF" w:themeColor="background1"/>
              <w:right w:val="single" w:sz="4" w:space="0" w:color="808080" w:themeColor="background1" w:themeShade="80"/>
            </w:tcBorders>
            <w:shd w:val="clear" w:color="auto" w:fill="auto"/>
            <w:vAlign w:val="center"/>
            <w:hideMark/>
          </w:tcPr>
          <w:p w14:paraId="6A2F341A" w14:textId="77777777" w:rsidR="00EA230D" w:rsidRPr="00EA230D" w:rsidRDefault="00EA230D" w:rsidP="00EA230D">
            <w:pPr>
              <w:pStyle w:val="DHHStabletext"/>
            </w:pPr>
          </w:p>
        </w:tc>
        <w:tc>
          <w:tcPr>
            <w:tcW w:w="1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EEA875" w14:textId="77777777" w:rsidR="00EA230D" w:rsidRPr="00EA230D" w:rsidRDefault="00EA230D" w:rsidP="00EA230D">
            <w:pPr>
              <w:pStyle w:val="DHHStabletext"/>
            </w:pPr>
            <w:r w:rsidRPr="00EA230D">
              <w:t xml:space="preserve">The broader biopsychosocial needs of culturally diverse communities and vulnerable cohorts in high risk settings are met through a holistic approach to engagement and service delivery  </w:t>
            </w:r>
          </w:p>
        </w:tc>
        <w:tc>
          <w:tcPr>
            <w:tcW w:w="1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C15044" w14:textId="77777777" w:rsidR="00EA230D" w:rsidRPr="00EA230D" w:rsidRDefault="00EA230D" w:rsidP="00EA230D">
            <w:pPr>
              <w:pStyle w:val="Bullet1"/>
            </w:pPr>
            <w:r w:rsidRPr="00EA230D">
              <w:rPr>
                <w:highlight w:val="yellow"/>
              </w:rPr>
              <w:t>Demographics in each catchment have been identified and catchment leadership groups continue to ensure all types of communities have been considered</w:t>
            </w:r>
          </w:p>
        </w:tc>
        <w:tc>
          <w:tcPr>
            <w:tcW w:w="10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3130A6" w14:textId="77777777" w:rsidR="00EA230D" w:rsidRPr="00EA230D" w:rsidRDefault="00EA230D" w:rsidP="00EA230D">
            <w:pPr>
              <w:pStyle w:val="Bullet1"/>
            </w:pPr>
            <w:r w:rsidRPr="00EA230D">
              <w:t>Prevention &amp; Preparedness reporting template</w:t>
            </w:r>
          </w:p>
        </w:tc>
      </w:tr>
      <w:tr w:rsidR="00EA230D" w:rsidRPr="00CE0447" w14:paraId="1862ED17" w14:textId="77777777" w:rsidTr="00F84C63">
        <w:trPr>
          <w:trHeight w:val="2420"/>
        </w:trPr>
        <w:tc>
          <w:tcPr>
            <w:tcW w:w="878" w:type="pct"/>
            <w:tcBorders>
              <w:top w:val="single" w:sz="4" w:space="0" w:color="FFFFFF" w:themeColor="background1"/>
              <w:left w:val="single" w:sz="4" w:space="0" w:color="808080" w:themeColor="background1" w:themeShade="80"/>
              <w:bottom w:val="single" w:sz="4" w:space="0" w:color="FFFFFF" w:themeColor="background1"/>
              <w:right w:val="single" w:sz="4" w:space="0" w:color="808080" w:themeColor="background1" w:themeShade="80"/>
            </w:tcBorders>
            <w:shd w:val="clear" w:color="auto" w:fill="auto"/>
            <w:vAlign w:val="center"/>
            <w:hideMark/>
          </w:tcPr>
          <w:p w14:paraId="74D9C87F" w14:textId="77777777" w:rsidR="00EA230D" w:rsidRPr="00EA230D" w:rsidRDefault="00EA230D" w:rsidP="00EA230D">
            <w:pPr>
              <w:pStyle w:val="DHHStabletext"/>
            </w:pPr>
          </w:p>
        </w:tc>
        <w:tc>
          <w:tcPr>
            <w:tcW w:w="1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ED97E9" w14:textId="77777777" w:rsidR="00EA230D" w:rsidRPr="00EA230D" w:rsidRDefault="00EA230D" w:rsidP="00EA230D">
            <w:pPr>
              <w:pStyle w:val="DHHStabletext"/>
            </w:pPr>
            <w:r w:rsidRPr="00EA230D">
              <w:t xml:space="preserve">Catchment Leadership Groups record all high-risk accommodation addresses, including an assessment of overall facility risk which facilitates tailored prevention approaches and quick, effective responses to potential outbreaks  </w:t>
            </w:r>
          </w:p>
        </w:tc>
        <w:tc>
          <w:tcPr>
            <w:tcW w:w="1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E9B582" w14:textId="77777777" w:rsidR="00EA230D" w:rsidRPr="00EA230D" w:rsidRDefault="00EA230D" w:rsidP="00EA230D">
            <w:pPr>
              <w:pStyle w:val="Bullet1"/>
            </w:pPr>
            <w:r w:rsidRPr="00EA230D">
              <w:t>All facilities on the master address list have been provided with a risk rating</w:t>
            </w:r>
          </w:p>
        </w:tc>
        <w:tc>
          <w:tcPr>
            <w:tcW w:w="10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AE543B3" w14:textId="77777777" w:rsidR="00EA230D" w:rsidRPr="00EA230D" w:rsidRDefault="00EA230D" w:rsidP="00EA230D">
            <w:pPr>
              <w:pStyle w:val="Bullet1"/>
            </w:pPr>
            <w:r w:rsidRPr="00EA230D">
              <w:t>Risk assessment - in scope property list</w:t>
            </w:r>
          </w:p>
        </w:tc>
      </w:tr>
      <w:tr w:rsidR="00EA230D" w:rsidRPr="00CE0447" w14:paraId="2D521DF9" w14:textId="77777777" w:rsidTr="009376ED">
        <w:trPr>
          <w:trHeight w:val="1320"/>
        </w:trPr>
        <w:tc>
          <w:tcPr>
            <w:tcW w:w="878" w:type="pct"/>
            <w:tcBorders>
              <w:top w:val="single" w:sz="4" w:space="0" w:color="FFFFFF" w:themeColor="background1"/>
              <w:left w:val="single" w:sz="4" w:space="0" w:color="808080" w:themeColor="background1" w:themeShade="80"/>
              <w:bottom w:val="single" w:sz="4" w:space="0" w:color="FFFFFF" w:themeColor="background1"/>
              <w:right w:val="single" w:sz="4" w:space="0" w:color="808080" w:themeColor="background1" w:themeShade="80"/>
            </w:tcBorders>
            <w:shd w:val="clear" w:color="auto" w:fill="auto"/>
            <w:vAlign w:val="center"/>
            <w:hideMark/>
          </w:tcPr>
          <w:p w14:paraId="262E54A3" w14:textId="77777777" w:rsidR="00EA230D" w:rsidRPr="00EA230D" w:rsidRDefault="00EA230D" w:rsidP="00EA230D">
            <w:pPr>
              <w:pStyle w:val="DHHStabletext"/>
            </w:pPr>
          </w:p>
        </w:tc>
        <w:tc>
          <w:tcPr>
            <w:tcW w:w="1588" w:type="pct"/>
            <w:tcBorders>
              <w:top w:val="single" w:sz="4" w:space="0" w:color="808080" w:themeColor="background1" w:themeShade="80"/>
              <w:left w:val="single" w:sz="4" w:space="0" w:color="808080" w:themeColor="background1" w:themeShade="80"/>
              <w:bottom w:val="single" w:sz="4" w:space="0" w:color="FFFFFF" w:themeColor="background1"/>
              <w:right w:val="single" w:sz="4" w:space="0" w:color="808080" w:themeColor="background1" w:themeShade="80"/>
            </w:tcBorders>
            <w:shd w:val="clear" w:color="auto" w:fill="auto"/>
            <w:hideMark/>
          </w:tcPr>
          <w:p w14:paraId="5A71BD6A" w14:textId="77777777" w:rsidR="00EA230D" w:rsidRPr="00EA230D" w:rsidRDefault="00EA230D" w:rsidP="00EA230D">
            <w:pPr>
              <w:pStyle w:val="DHHStabletext"/>
            </w:pPr>
            <w:r w:rsidRPr="00EA230D">
              <w:t xml:space="preserve">Activities are undertaken to support social recovery, community resilience and economic recovery </w:t>
            </w:r>
          </w:p>
        </w:tc>
        <w:tc>
          <w:tcPr>
            <w:tcW w:w="1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7C814B" w14:textId="77777777" w:rsidR="00EA230D" w:rsidRPr="00EA230D" w:rsidRDefault="00EA230D" w:rsidP="00EA230D">
            <w:pPr>
              <w:pStyle w:val="Bullet1"/>
            </w:pPr>
            <w:r w:rsidRPr="00EA230D">
              <w:t>Improvement in community recovery and resilience of COVID 19</w:t>
            </w:r>
          </w:p>
        </w:tc>
        <w:tc>
          <w:tcPr>
            <w:tcW w:w="10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B7908C4" w14:textId="77777777" w:rsidR="00EA230D" w:rsidRPr="00EA230D" w:rsidRDefault="00EA230D" w:rsidP="00EA230D">
            <w:pPr>
              <w:pStyle w:val="Bullet1"/>
            </w:pPr>
            <w:r w:rsidRPr="00EA230D">
              <w:t>Independent research</w:t>
            </w:r>
          </w:p>
        </w:tc>
      </w:tr>
      <w:tr w:rsidR="00EA230D" w:rsidRPr="00CE0447" w14:paraId="2CDC9676" w14:textId="77777777" w:rsidTr="009376ED">
        <w:trPr>
          <w:trHeight w:val="1119"/>
        </w:trPr>
        <w:tc>
          <w:tcPr>
            <w:tcW w:w="878" w:type="pct"/>
            <w:tcBorders>
              <w:top w:val="single" w:sz="4" w:space="0" w:color="FFFFFF" w:themeColor="background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25499F8" w14:textId="77777777" w:rsidR="00EA230D" w:rsidRPr="00EA230D" w:rsidRDefault="00EA230D" w:rsidP="00EA230D">
            <w:pPr>
              <w:pStyle w:val="DHHStabletext"/>
            </w:pPr>
          </w:p>
        </w:tc>
        <w:tc>
          <w:tcPr>
            <w:tcW w:w="1588" w:type="pct"/>
            <w:tcBorders>
              <w:top w:val="single" w:sz="4" w:space="0" w:color="FFFFFF" w:themeColor="background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hideMark/>
          </w:tcPr>
          <w:p w14:paraId="42A3A7FE" w14:textId="77777777" w:rsidR="00EA230D" w:rsidRPr="00EA230D" w:rsidRDefault="00EA230D" w:rsidP="00EA230D">
            <w:pPr>
              <w:pStyle w:val="DHHStabletext"/>
            </w:pPr>
            <w:r w:rsidRPr="00EA230D">
              <w:t> </w:t>
            </w:r>
          </w:p>
        </w:tc>
        <w:tc>
          <w:tcPr>
            <w:tcW w:w="1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70A081" w14:textId="77777777" w:rsidR="00EA230D" w:rsidRPr="00EA230D" w:rsidRDefault="00EA230D" w:rsidP="00EA230D">
            <w:pPr>
              <w:pStyle w:val="Bullet1"/>
            </w:pPr>
            <w:r w:rsidRPr="00EA230D">
              <w:t>Key achievements since last reporting period</w:t>
            </w:r>
          </w:p>
          <w:p w14:paraId="4AC1E906" w14:textId="3402E0B2" w:rsidR="00EA230D" w:rsidRPr="00EA230D" w:rsidRDefault="00EA230D" w:rsidP="00EA230D">
            <w:pPr>
              <w:pStyle w:val="Bullet1"/>
            </w:pPr>
            <w:r w:rsidRPr="00EA230D">
              <w:t>Any issues, risks and mitigating actions taken</w:t>
            </w:r>
          </w:p>
        </w:tc>
        <w:tc>
          <w:tcPr>
            <w:tcW w:w="10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156BFE" w14:textId="77777777" w:rsidR="00EA230D" w:rsidRPr="00EA230D" w:rsidRDefault="00EA230D" w:rsidP="00EA230D">
            <w:pPr>
              <w:pStyle w:val="Bullet1"/>
            </w:pPr>
            <w:r w:rsidRPr="00EA230D">
              <w:t>Prevention &amp; Preparedness reporting template</w:t>
            </w:r>
          </w:p>
        </w:tc>
      </w:tr>
    </w:tbl>
    <w:p w14:paraId="2E4E1333" w14:textId="77777777" w:rsidR="00EA230D" w:rsidRDefault="00EA230D">
      <w:pPr>
        <w:spacing w:after="0" w:line="240" w:lineRule="auto"/>
        <w:rPr>
          <w:b/>
          <w:sz w:val="20"/>
          <w:lang w:eastAsia="en-AU"/>
        </w:rPr>
      </w:pPr>
      <w:r>
        <w:rPr>
          <w:lang w:eastAsia="en-AU"/>
        </w:rPr>
        <w:br w:type="page"/>
      </w:r>
    </w:p>
    <w:p w14:paraId="72856EDC" w14:textId="36747F8D" w:rsidR="0003286C" w:rsidRPr="0003286C" w:rsidRDefault="0003286C" w:rsidP="00EA230D">
      <w:pPr>
        <w:pStyle w:val="DHHStablecaption"/>
        <w:rPr>
          <w:lang w:eastAsia="en-AU"/>
        </w:rPr>
      </w:pPr>
      <w:r w:rsidRPr="0003286C">
        <w:rPr>
          <w:lang w:eastAsia="en-AU"/>
        </w:rPr>
        <w:lastRenderedPageBreak/>
        <w:t>Community Engagement</w:t>
      </w:r>
    </w:p>
    <w:tbl>
      <w:tblPr>
        <w:tblW w:w="5032"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Caption w:val="Community Engagement"/>
        <w:tblDescription w:val="Activity; Outcomes; Metrics; Method of collection"/>
      </w:tblPr>
      <w:tblGrid>
        <w:gridCol w:w="1873"/>
        <w:gridCol w:w="3332"/>
        <w:gridCol w:w="2963"/>
        <w:gridCol w:w="2355"/>
      </w:tblGrid>
      <w:tr w:rsidR="00B43B56" w:rsidRPr="0003286C" w14:paraId="299CAA73" w14:textId="77777777" w:rsidTr="00B43B56">
        <w:trPr>
          <w:trHeight w:val="290"/>
        </w:trPr>
        <w:tc>
          <w:tcPr>
            <w:tcW w:w="890" w:type="pct"/>
            <w:shd w:val="clear" w:color="auto" w:fill="auto"/>
            <w:noWrap/>
            <w:vAlign w:val="bottom"/>
            <w:hideMark/>
          </w:tcPr>
          <w:p w14:paraId="03FAF552" w14:textId="77777777" w:rsidR="0003286C" w:rsidRPr="00EA230D" w:rsidRDefault="0003286C" w:rsidP="005325AE">
            <w:pPr>
              <w:pStyle w:val="DHHStablecolhead"/>
            </w:pPr>
            <w:r w:rsidRPr="00EA230D">
              <w:t>Activity</w:t>
            </w:r>
          </w:p>
        </w:tc>
        <w:tc>
          <w:tcPr>
            <w:tcW w:w="1583" w:type="pct"/>
            <w:shd w:val="clear" w:color="auto" w:fill="auto"/>
            <w:noWrap/>
            <w:vAlign w:val="bottom"/>
            <w:hideMark/>
          </w:tcPr>
          <w:p w14:paraId="4DA206F5" w14:textId="77777777" w:rsidR="0003286C" w:rsidRPr="00EA230D" w:rsidRDefault="0003286C" w:rsidP="005325AE">
            <w:pPr>
              <w:pStyle w:val="DHHStablecolhead"/>
            </w:pPr>
            <w:r w:rsidRPr="00EA230D">
              <w:t>Outcomes</w:t>
            </w:r>
          </w:p>
        </w:tc>
        <w:tc>
          <w:tcPr>
            <w:tcW w:w="1408" w:type="pct"/>
            <w:shd w:val="clear" w:color="auto" w:fill="auto"/>
            <w:noWrap/>
            <w:vAlign w:val="bottom"/>
            <w:hideMark/>
          </w:tcPr>
          <w:p w14:paraId="5BF1B95F" w14:textId="77777777" w:rsidR="0003286C" w:rsidRPr="00EA230D" w:rsidRDefault="0003286C" w:rsidP="005325AE">
            <w:pPr>
              <w:pStyle w:val="DHHStablecolhead"/>
            </w:pPr>
            <w:r w:rsidRPr="00EA230D">
              <w:t>Metrics</w:t>
            </w:r>
          </w:p>
        </w:tc>
        <w:tc>
          <w:tcPr>
            <w:tcW w:w="1119" w:type="pct"/>
            <w:shd w:val="clear" w:color="auto" w:fill="auto"/>
            <w:noWrap/>
            <w:vAlign w:val="bottom"/>
            <w:hideMark/>
          </w:tcPr>
          <w:p w14:paraId="63615F94" w14:textId="77777777" w:rsidR="0003286C" w:rsidRPr="00EA230D" w:rsidRDefault="0003286C" w:rsidP="005325AE">
            <w:pPr>
              <w:pStyle w:val="DHHStablecolhead"/>
            </w:pPr>
            <w:r w:rsidRPr="00EA230D">
              <w:t>Method of collection</w:t>
            </w:r>
          </w:p>
        </w:tc>
      </w:tr>
      <w:tr w:rsidR="00B43B56" w:rsidRPr="0003286C" w14:paraId="39E1F81C" w14:textId="77777777" w:rsidTr="00B43B56">
        <w:trPr>
          <w:trHeight w:val="2210"/>
        </w:trPr>
        <w:tc>
          <w:tcPr>
            <w:tcW w:w="890" w:type="pct"/>
            <w:tcBorders>
              <w:bottom w:val="single" w:sz="4" w:space="0" w:color="FFFFFF" w:themeColor="background1"/>
            </w:tcBorders>
            <w:shd w:val="clear" w:color="auto" w:fill="auto"/>
            <w:hideMark/>
          </w:tcPr>
          <w:p w14:paraId="179C9B1C" w14:textId="0443503E" w:rsidR="00F84C63" w:rsidRPr="0003286C" w:rsidRDefault="00F84C63" w:rsidP="00F84C63">
            <w:pPr>
              <w:pStyle w:val="DHHStabletext"/>
            </w:pPr>
            <w:r w:rsidRPr="0003286C">
              <w:t xml:space="preserve">Engaging with clients, staff and proprietors to inform planning and the provision of support; developing and delivering culturally appropriate and accessible communication and engagement strategies that support residents to practice COVID-safe routines, and, in the event of an outbreak, work alongside DFFH/DH to support testing access and ability to safely isolate. Supporting initiatives for social recovery at the local level. </w:t>
            </w:r>
          </w:p>
        </w:tc>
        <w:tc>
          <w:tcPr>
            <w:tcW w:w="1583" w:type="pct"/>
            <w:shd w:val="clear" w:color="auto" w:fill="auto"/>
            <w:hideMark/>
          </w:tcPr>
          <w:p w14:paraId="6DF72EF3" w14:textId="77777777" w:rsidR="00F84C63" w:rsidRPr="0003286C" w:rsidRDefault="00F84C63" w:rsidP="00EA230D">
            <w:pPr>
              <w:pStyle w:val="DHHStabletext"/>
              <w:rPr>
                <w:lang w:eastAsia="en-AU"/>
              </w:rPr>
            </w:pPr>
            <w:r w:rsidRPr="0003286C">
              <w:rPr>
                <w:lang w:eastAsia="en-AU"/>
              </w:rPr>
              <w:t>Engagement strategies and tailored prevention and preparedness activities are based on local community needs and demographics</w:t>
            </w:r>
          </w:p>
        </w:tc>
        <w:tc>
          <w:tcPr>
            <w:tcW w:w="1408" w:type="pct"/>
            <w:shd w:val="clear" w:color="auto" w:fill="auto"/>
            <w:hideMark/>
          </w:tcPr>
          <w:p w14:paraId="3ED11FCE" w14:textId="77777777" w:rsidR="00F84C63" w:rsidRPr="0003286C" w:rsidRDefault="00F84C63" w:rsidP="00EA230D">
            <w:pPr>
              <w:pStyle w:val="Bullet1"/>
              <w:rPr>
                <w:lang w:eastAsia="en-AU"/>
              </w:rPr>
            </w:pPr>
            <w:r w:rsidRPr="0003286C">
              <w:rPr>
                <w:lang w:eastAsia="en-AU"/>
              </w:rPr>
              <w:t>Demographics in each catchment have been identified</w:t>
            </w:r>
          </w:p>
          <w:p w14:paraId="77BE01AB" w14:textId="77777777" w:rsidR="00F84C63" w:rsidRPr="0003286C" w:rsidRDefault="00F84C63" w:rsidP="00EA230D">
            <w:pPr>
              <w:pStyle w:val="Bullet1"/>
              <w:rPr>
                <w:lang w:eastAsia="en-AU"/>
              </w:rPr>
            </w:pPr>
            <w:r w:rsidRPr="0003286C">
              <w:rPr>
                <w:lang w:eastAsia="en-AU"/>
              </w:rPr>
              <w:t>Strategies demonstrate prevention and preparedness activities that have been tailored to ensure the needs of local communities have been considered</w:t>
            </w:r>
          </w:p>
        </w:tc>
        <w:tc>
          <w:tcPr>
            <w:tcW w:w="1119" w:type="pct"/>
            <w:shd w:val="clear" w:color="auto" w:fill="auto"/>
            <w:hideMark/>
          </w:tcPr>
          <w:p w14:paraId="4F52E32C" w14:textId="77777777" w:rsidR="00F84C63" w:rsidRPr="0003286C" w:rsidRDefault="00F84C63" w:rsidP="00B43B56">
            <w:pPr>
              <w:pStyle w:val="Bullet1"/>
              <w:ind w:left="278" w:hanging="278"/>
              <w:rPr>
                <w:lang w:eastAsia="en-AU"/>
              </w:rPr>
            </w:pPr>
            <w:r w:rsidRPr="0003286C">
              <w:rPr>
                <w:lang w:eastAsia="en-AU"/>
              </w:rPr>
              <w:t>Prevention &amp; Preparedness reporting template</w:t>
            </w:r>
          </w:p>
        </w:tc>
      </w:tr>
      <w:tr w:rsidR="00B43B56" w:rsidRPr="0003286C" w14:paraId="0E36545D" w14:textId="77777777" w:rsidTr="00B43B56">
        <w:trPr>
          <w:trHeight w:val="1140"/>
        </w:trPr>
        <w:tc>
          <w:tcPr>
            <w:tcW w:w="890" w:type="pct"/>
            <w:tcBorders>
              <w:top w:val="single" w:sz="4" w:space="0" w:color="FFFFFF" w:themeColor="background1"/>
              <w:bottom w:val="single" w:sz="4" w:space="0" w:color="FFFFFF" w:themeColor="background1"/>
            </w:tcBorders>
            <w:shd w:val="clear" w:color="auto" w:fill="auto"/>
            <w:hideMark/>
          </w:tcPr>
          <w:p w14:paraId="2CF81DF1" w14:textId="77777777" w:rsidR="00F84C63" w:rsidRPr="0003286C" w:rsidRDefault="00F84C63" w:rsidP="00F84C63">
            <w:pPr>
              <w:pStyle w:val="DHHStabletext"/>
              <w:rPr>
                <w:lang w:eastAsia="en-AU"/>
              </w:rPr>
            </w:pPr>
          </w:p>
        </w:tc>
        <w:tc>
          <w:tcPr>
            <w:tcW w:w="1583" w:type="pct"/>
            <w:shd w:val="clear" w:color="auto" w:fill="FFFFFF" w:themeFill="background1"/>
            <w:hideMark/>
          </w:tcPr>
          <w:p w14:paraId="45A1833D" w14:textId="77777777" w:rsidR="00F84C63" w:rsidRPr="0003286C" w:rsidRDefault="00F84C63" w:rsidP="00EA230D">
            <w:pPr>
              <w:pStyle w:val="DHHStabletext"/>
              <w:rPr>
                <w:lang w:eastAsia="en-AU"/>
              </w:rPr>
            </w:pPr>
            <w:r w:rsidRPr="0003286C">
              <w:rPr>
                <w:lang w:eastAsia="en-AU"/>
              </w:rPr>
              <w:t>Increased community awareness of and connection with the broader health and social support systems</w:t>
            </w:r>
          </w:p>
        </w:tc>
        <w:tc>
          <w:tcPr>
            <w:tcW w:w="1408" w:type="pct"/>
            <w:shd w:val="clear" w:color="auto" w:fill="FFFFFF" w:themeFill="background1"/>
            <w:hideMark/>
          </w:tcPr>
          <w:p w14:paraId="60348915" w14:textId="77777777" w:rsidR="00F84C63" w:rsidRPr="0003286C" w:rsidRDefault="00F84C63" w:rsidP="00EA230D">
            <w:pPr>
              <w:pStyle w:val="Bullet1"/>
              <w:rPr>
                <w:lang w:eastAsia="en-AU"/>
              </w:rPr>
            </w:pPr>
            <w:r w:rsidRPr="0003286C">
              <w:rPr>
                <w:color w:val="000000" w:themeColor="text1"/>
                <w:lang w:eastAsia="en-AU"/>
              </w:rPr>
              <w:t xml:space="preserve">Activities in place </w:t>
            </w:r>
            <w:r w:rsidRPr="0003286C">
              <w:rPr>
                <w:lang w:eastAsia="en-AU"/>
              </w:rPr>
              <w:t>support community awareness.</w:t>
            </w:r>
          </w:p>
          <w:p w14:paraId="5A7BE73C" w14:textId="77777777" w:rsidR="00F84C63" w:rsidRPr="0003286C" w:rsidRDefault="00F84C63" w:rsidP="00EA230D">
            <w:pPr>
              <w:pStyle w:val="Bullet1"/>
              <w:rPr>
                <w:lang w:eastAsia="en-AU"/>
              </w:rPr>
            </w:pPr>
            <w:r w:rsidRPr="0003286C">
              <w:rPr>
                <w:color w:val="000000" w:themeColor="text1"/>
                <w:lang w:eastAsia="en-AU"/>
              </w:rPr>
              <w:t xml:space="preserve">Cross section of residents demonstrates awareness of how to connect with health and support systems. </w:t>
            </w:r>
          </w:p>
        </w:tc>
        <w:tc>
          <w:tcPr>
            <w:tcW w:w="1119" w:type="pct"/>
            <w:shd w:val="clear" w:color="auto" w:fill="FFFFFF" w:themeFill="background1"/>
            <w:hideMark/>
          </w:tcPr>
          <w:p w14:paraId="5E62C542" w14:textId="77777777" w:rsidR="00F84C63" w:rsidRPr="0003286C" w:rsidRDefault="00F84C63" w:rsidP="00EA230D">
            <w:pPr>
              <w:pStyle w:val="Bullet1"/>
              <w:rPr>
                <w:lang w:eastAsia="en-AU"/>
              </w:rPr>
            </w:pPr>
            <w:r w:rsidRPr="0003286C">
              <w:rPr>
                <w:lang w:eastAsia="en-AU"/>
              </w:rPr>
              <w:t xml:space="preserve">Independent research </w:t>
            </w:r>
          </w:p>
        </w:tc>
      </w:tr>
      <w:tr w:rsidR="00B43B56" w:rsidRPr="0003286C" w14:paraId="7821BF91" w14:textId="77777777" w:rsidTr="00B43B56">
        <w:trPr>
          <w:trHeight w:val="1560"/>
        </w:trPr>
        <w:tc>
          <w:tcPr>
            <w:tcW w:w="890" w:type="pct"/>
            <w:tcBorders>
              <w:top w:val="single" w:sz="4" w:space="0" w:color="FFFFFF" w:themeColor="background1"/>
              <w:bottom w:val="single" w:sz="4" w:space="0" w:color="FFFFFF" w:themeColor="background1"/>
            </w:tcBorders>
            <w:shd w:val="clear" w:color="auto" w:fill="auto"/>
            <w:hideMark/>
          </w:tcPr>
          <w:p w14:paraId="554F3007" w14:textId="77777777" w:rsidR="00F84C63" w:rsidRPr="0003286C" w:rsidRDefault="00F84C63" w:rsidP="00F84C63">
            <w:pPr>
              <w:pStyle w:val="DHHStabletext"/>
              <w:rPr>
                <w:lang w:eastAsia="en-AU"/>
              </w:rPr>
            </w:pPr>
          </w:p>
        </w:tc>
        <w:tc>
          <w:tcPr>
            <w:tcW w:w="1583" w:type="pct"/>
            <w:shd w:val="clear" w:color="auto" w:fill="FFFFFF" w:themeFill="background1"/>
            <w:hideMark/>
          </w:tcPr>
          <w:p w14:paraId="59F257E1" w14:textId="77777777" w:rsidR="00F84C63" w:rsidRPr="0003286C" w:rsidRDefault="00F84C63" w:rsidP="00EA230D">
            <w:pPr>
              <w:pStyle w:val="DHHStabletext"/>
              <w:rPr>
                <w:lang w:eastAsia="en-AU"/>
              </w:rPr>
            </w:pPr>
            <w:r w:rsidRPr="0003286C">
              <w:rPr>
                <w:lang w:eastAsia="en-AU"/>
              </w:rPr>
              <w:t xml:space="preserve">Diverse groups within the local community are actively engaged and included in catchment/local planning and service provision </w:t>
            </w:r>
          </w:p>
        </w:tc>
        <w:tc>
          <w:tcPr>
            <w:tcW w:w="1408" w:type="pct"/>
            <w:shd w:val="clear" w:color="auto" w:fill="FFFFFF" w:themeFill="background1"/>
            <w:hideMark/>
          </w:tcPr>
          <w:p w14:paraId="41223CB0" w14:textId="4ED42F38" w:rsidR="00F84C63" w:rsidRPr="0003286C" w:rsidRDefault="00F84C63" w:rsidP="00F84C63">
            <w:pPr>
              <w:pStyle w:val="Bullet1"/>
              <w:numPr>
                <w:ilvl w:val="0"/>
                <w:numId w:val="0"/>
              </w:numPr>
              <w:ind w:left="284"/>
              <w:rPr>
                <w:lang w:eastAsia="en-AU"/>
              </w:rPr>
            </w:pPr>
          </w:p>
        </w:tc>
        <w:tc>
          <w:tcPr>
            <w:tcW w:w="1119" w:type="pct"/>
            <w:shd w:val="clear" w:color="auto" w:fill="FFFFFF" w:themeFill="background1"/>
            <w:hideMark/>
          </w:tcPr>
          <w:p w14:paraId="597EFFA2" w14:textId="77777777" w:rsidR="00F84C63" w:rsidRPr="0003286C" w:rsidRDefault="00F84C63" w:rsidP="00EA230D">
            <w:pPr>
              <w:pStyle w:val="Bullet1"/>
              <w:rPr>
                <w:lang w:eastAsia="en-AU"/>
              </w:rPr>
            </w:pPr>
            <w:r w:rsidRPr="0003286C">
              <w:rPr>
                <w:lang w:eastAsia="en-AU"/>
              </w:rPr>
              <w:t xml:space="preserve">Independent research </w:t>
            </w:r>
          </w:p>
        </w:tc>
      </w:tr>
      <w:tr w:rsidR="00B43B56" w:rsidRPr="0003286C" w14:paraId="22426347" w14:textId="77777777" w:rsidTr="009376ED">
        <w:trPr>
          <w:trHeight w:val="2150"/>
        </w:trPr>
        <w:tc>
          <w:tcPr>
            <w:tcW w:w="890" w:type="pct"/>
            <w:tcBorders>
              <w:top w:val="single" w:sz="4" w:space="0" w:color="FFFFFF" w:themeColor="background1"/>
              <w:bottom w:val="single" w:sz="4" w:space="0" w:color="FFFFFF" w:themeColor="background1"/>
            </w:tcBorders>
            <w:shd w:val="clear" w:color="auto" w:fill="auto"/>
            <w:hideMark/>
          </w:tcPr>
          <w:p w14:paraId="41BF1616" w14:textId="77777777" w:rsidR="00F84C63" w:rsidRPr="0003286C" w:rsidRDefault="00F84C63" w:rsidP="00F84C63">
            <w:pPr>
              <w:pStyle w:val="DHHStabletext"/>
              <w:rPr>
                <w:lang w:eastAsia="en-AU"/>
              </w:rPr>
            </w:pPr>
          </w:p>
        </w:tc>
        <w:tc>
          <w:tcPr>
            <w:tcW w:w="1583" w:type="pct"/>
            <w:tcBorders>
              <w:bottom w:val="single" w:sz="4" w:space="0" w:color="FFFFFF"/>
            </w:tcBorders>
            <w:shd w:val="clear" w:color="auto" w:fill="auto"/>
            <w:hideMark/>
          </w:tcPr>
          <w:p w14:paraId="5ABF1FEF" w14:textId="77777777" w:rsidR="00F84C63" w:rsidRPr="0003286C" w:rsidRDefault="00F84C63" w:rsidP="00EA230D">
            <w:pPr>
              <w:pStyle w:val="DHHStabletext"/>
              <w:rPr>
                <w:lang w:eastAsia="en-AU"/>
              </w:rPr>
            </w:pPr>
            <w:r w:rsidRPr="0003286C">
              <w:rPr>
                <w:lang w:eastAsia="en-AU"/>
              </w:rPr>
              <w:t>Communications and language is inclusive and accessible for people with disability, people from diverse cultures and non-English speaking backgrounds</w:t>
            </w:r>
          </w:p>
        </w:tc>
        <w:tc>
          <w:tcPr>
            <w:tcW w:w="1408" w:type="pct"/>
            <w:shd w:val="clear" w:color="auto" w:fill="auto"/>
            <w:hideMark/>
          </w:tcPr>
          <w:p w14:paraId="7138FAC6" w14:textId="77777777" w:rsidR="00F84C63" w:rsidRPr="0003286C" w:rsidRDefault="00F84C63" w:rsidP="00EA230D">
            <w:pPr>
              <w:pStyle w:val="Bullet1"/>
              <w:rPr>
                <w:lang w:eastAsia="en-AU"/>
              </w:rPr>
            </w:pPr>
            <w:r w:rsidRPr="0003286C">
              <w:rPr>
                <w:lang w:eastAsia="en-AU"/>
              </w:rPr>
              <w:t>Demographics in each catchment have been identified</w:t>
            </w:r>
          </w:p>
          <w:p w14:paraId="31F96DCC" w14:textId="77777777" w:rsidR="00F84C63" w:rsidRPr="0003286C" w:rsidRDefault="00F84C63" w:rsidP="00EA230D">
            <w:pPr>
              <w:pStyle w:val="Bullet1"/>
              <w:rPr>
                <w:lang w:eastAsia="en-AU"/>
              </w:rPr>
            </w:pPr>
            <w:r w:rsidRPr="0003286C">
              <w:rPr>
                <w:lang w:eastAsia="en-AU"/>
              </w:rPr>
              <w:t>Strategies have been developed to ensure all types of communities have been considered</w:t>
            </w:r>
          </w:p>
        </w:tc>
        <w:tc>
          <w:tcPr>
            <w:tcW w:w="1119" w:type="pct"/>
            <w:shd w:val="clear" w:color="auto" w:fill="auto"/>
            <w:hideMark/>
          </w:tcPr>
          <w:p w14:paraId="48F60C4B" w14:textId="77777777" w:rsidR="00F84C63" w:rsidRPr="0003286C" w:rsidRDefault="00F84C63" w:rsidP="00EA230D">
            <w:pPr>
              <w:pStyle w:val="Bullet1"/>
              <w:rPr>
                <w:lang w:eastAsia="en-AU"/>
              </w:rPr>
            </w:pPr>
            <w:r w:rsidRPr="0003286C">
              <w:rPr>
                <w:lang w:eastAsia="en-AU"/>
              </w:rPr>
              <w:t>Prevention &amp; Preparedness reporting template</w:t>
            </w:r>
          </w:p>
        </w:tc>
      </w:tr>
      <w:tr w:rsidR="00B43B56" w:rsidRPr="0003286C" w14:paraId="772E0E1A" w14:textId="77777777" w:rsidTr="009376ED">
        <w:trPr>
          <w:trHeight w:val="2160"/>
        </w:trPr>
        <w:tc>
          <w:tcPr>
            <w:tcW w:w="890" w:type="pct"/>
            <w:tcBorders>
              <w:top w:val="single" w:sz="4" w:space="0" w:color="FFFFFF" w:themeColor="background1"/>
            </w:tcBorders>
            <w:shd w:val="clear" w:color="auto" w:fill="auto"/>
            <w:hideMark/>
          </w:tcPr>
          <w:p w14:paraId="67E75FF3" w14:textId="77777777" w:rsidR="0003286C" w:rsidRPr="0003286C" w:rsidRDefault="0003286C" w:rsidP="00EA230D">
            <w:pPr>
              <w:pStyle w:val="DHHStabletext"/>
              <w:rPr>
                <w:lang w:eastAsia="en-AU"/>
              </w:rPr>
            </w:pPr>
            <w:r w:rsidRPr="0003286C">
              <w:rPr>
                <w:lang w:eastAsia="en-AU"/>
              </w:rPr>
              <w:t> </w:t>
            </w:r>
          </w:p>
        </w:tc>
        <w:tc>
          <w:tcPr>
            <w:tcW w:w="1583" w:type="pct"/>
            <w:tcBorders>
              <w:top w:val="single" w:sz="4" w:space="0" w:color="FFFFFF"/>
            </w:tcBorders>
            <w:shd w:val="clear" w:color="auto" w:fill="auto"/>
            <w:noWrap/>
            <w:hideMark/>
          </w:tcPr>
          <w:p w14:paraId="3258E038" w14:textId="77777777" w:rsidR="0003286C" w:rsidRPr="0003286C" w:rsidRDefault="0003286C" w:rsidP="00EA230D">
            <w:pPr>
              <w:pStyle w:val="DHHStabletext"/>
              <w:rPr>
                <w:lang w:eastAsia="en-AU"/>
              </w:rPr>
            </w:pPr>
            <w:r w:rsidRPr="0003286C">
              <w:rPr>
                <w:lang w:eastAsia="en-AU"/>
              </w:rPr>
              <w:t> </w:t>
            </w:r>
          </w:p>
        </w:tc>
        <w:tc>
          <w:tcPr>
            <w:tcW w:w="1408" w:type="pct"/>
            <w:shd w:val="clear" w:color="auto" w:fill="auto"/>
            <w:hideMark/>
          </w:tcPr>
          <w:p w14:paraId="169E9040" w14:textId="77777777" w:rsidR="0003286C" w:rsidRPr="0003286C" w:rsidRDefault="0003286C" w:rsidP="00EA230D">
            <w:pPr>
              <w:pStyle w:val="Bullet1"/>
              <w:rPr>
                <w:lang w:eastAsia="en-AU"/>
              </w:rPr>
            </w:pPr>
            <w:r w:rsidRPr="0003286C">
              <w:rPr>
                <w:lang w:eastAsia="en-AU"/>
              </w:rPr>
              <w:t xml:space="preserve">Strategies they have implemented </w:t>
            </w:r>
          </w:p>
          <w:p w14:paraId="5C109ACD" w14:textId="77777777" w:rsidR="0003286C" w:rsidRPr="0003286C" w:rsidRDefault="0003286C" w:rsidP="00EA230D">
            <w:pPr>
              <w:pStyle w:val="Bullet1"/>
              <w:rPr>
                <w:lang w:eastAsia="en-AU"/>
              </w:rPr>
            </w:pPr>
            <w:r w:rsidRPr="0003286C">
              <w:rPr>
                <w:lang w:eastAsia="en-AU"/>
              </w:rPr>
              <w:t>Key achievements since last reporting period</w:t>
            </w:r>
          </w:p>
          <w:p w14:paraId="040F831E" w14:textId="77777777" w:rsidR="0003286C" w:rsidRPr="0003286C" w:rsidRDefault="0003286C" w:rsidP="00EA230D">
            <w:pPr>
              <w:pStyle w:val="Bullet1"/>
              <w:rPr>
                <w:lang w:eastAsia="en-AU"/>
              </w:rPr>
            </w:pPr>
            <w:r w:rsidRPr="0003286C">
              <w:rPr>
                <w:lang w:eastAsia="en-AU"/>
              </w:rPr>
              <w:t>Which diverse groups have they engaged, and the outcome</w:t>
            </w:r>
          </w:p>
          <w:p w14:paraId="6225C4CD" w14:textId="77777777" w:rsidR="0003286C" w:rsidRPr="0003286C" w:rsidRDefault="0003286C" w:rsidP="00EA230D">
            <w:pPr>
              <w:pStyle w:val="Bullet1"/>
              <w:rPr>
                <w:lang w:eastAsia="en-AU"/>
              </w:rPr>
            </w:pPr>
            <w:r w:rsidRPr="0003286C">
              <w:rPr>
                <w:lang w:eastAsia="en-AU"/>
              </w:rPr>
              <w:t>Any issues/risks identified</w:t>
            </w:r>
          </w:p>
        </w:tc>
        <w:tc>
          <w:tcPr>
            <w:tcW w:w="1119" w:type="pct"/>
            <w:shd w:val="clear" w:color="auto" w:fill="auto"/>
            <w:hideMark/>
          </w:tcPr>
          <w:p w14:paraId="5DFBE16F" w14:textId="77777777" w:rsidR="0003286C" w:rsidRPr="0003286C" w:rsidRDefault="0003286C" w:rsidP="00EA230D">
            <w:pPr>
              <w:pStyle w:val="Bullet1"/>
              <w:rPr>
                <w:lang w:eastAsia="en-AU"/>
              </w:rPr>
            </w:pPr>
            <w:r w:rsidRPr="0003286C">
              <w:rPr>
                <w:lang w:eastAsia="en-AU"/>
              </w:rPr>
              <w:t>Prevention &amp; Preparedness reporting template</w:t>
            </w:r>
          </w:p>
          <w:p w14:paraId="23044DEC" w14:textId="77777777" w:rsidR="0003286C" w:rsidRPr="0003286C" w:rsidRDefault="0003286C" w:rsidP="00EA230D">
            <w:pPr>
              <w:pStyle w:val="Bullet1"/>
              <w:rPr>
                <w:lang w:eastAsia="en-AU"/>
              </w:rPr>
            </w:pPr>
            <w:r w:rsidRPr="0003286C">
              <w:rPr>
                <w:lang w:eastAsia="en-AU"/>
              </w:rPr>
              <w:t>Case Studies</w:t>
            </w:r>
          </w:p>
        </w:tc>
      </w:tr>
    </w:tbl>
    <w:p w14:paraId="440CC980" w14:textId="77777777" w:rsidR="0003286C" w:rsidRPr="00F84C63" w:rsidRDefault="0003286C" w:rsidP="00F84C63">
      <w:pPr>
        <w:pStyle w:val="DHHStablecaption"/>
      </w:pPr>
      <w:r w:rsidRPr="00F84C63">
        <w:lastRenderedPageBreak/>
        <w:t>Prevention and Preparedness</w:t>
      </w:r>
    </w:p>
    <w:tbl>
      <w:tblPr>
        <w:tblW w:w="5113"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Caption w:val="Prevention and Preparedness"/>
        <w:tblDescription w:val="Activity; Outcomes; Metrics; Method of collection"/>
      </w:tblPr>
      <w:tblGrid>
        <w:gridCol w:w="2977"/>
        <w:gridCol w:w="2290"/>
        <w:gridCol w:w="3381"/>
        <w:gridCol w:w="2044"/>
      </w:tblGrid>
      <w:tr w:rsidR="0003286C" w:rsidRPr="0003286C" w14:paraId="6A51A4A7" w14:textId="77777777" w:rsidTr="00B43B56">
        <w:trPr>
          <w:trHeight w:val="290"/>
          <w:tblHeader/>
        </w:trPr>
        <w:tc>
          <w:tcPr>
            <w:tcW w:w="1392" w:type="pct"/>
            <w:shd w:val="clear" w:color="auto" w:fill="auto"/>
            <w:noWrap/>
            <w:hideMark/>
          </w:tcPr>
          <w:p w14:paraId="399AFD15" w14:textId="77777777" w:rsidR="0003286C" w:rsidRPr="0003286C" w:rsidRDefault="0003286C" w:rsidP="005325AE">
            <w:pPr>
              <w:pStyle w:val="DHHStablecolhead"/>
            </w:pPr>
            <w:r w:rsidRPr="0003286C">
              <w:t>Activity</w:t>
            </w:r>
          </w:p>
        </w:tc>
        <w:tc>
          <w:tcPr>
            <w:tcW w:w="1071" w:type="pct"/>
            <w:shd w:val="clear" w:color="auto" w:fill="auto"/>
            <w:noWrap/>
            <w:hideMark/>
          </w:tcPr>
          <w:p w14:paraId="09EBD058" w14:textId="77777777" w:rsidR="0003286C" w:rsidRPr="0003286C" w:rsidRDefault="0003286C" w:rsidP="005325AE">
            <w:pPr>
              <w:pStyle w:val="DHHStablecolhead"/>
            </w:pPr>
            <w:r w:rsidRPr="0003286C">
              <w:t>Outcomes</w:t>
            </w:r>
          </w:p>
        </w:tc>
        <w:tc>
          <w:tcPr>
            <w:tcW w:w="1581" w:type="pct"/>
            <w:shd w:val="clear" w:color="auto" w:fill="auto"/>
            <w:noWrap/>
            <w:hideMark/>
          </w:tcPr>
          <w:p w14:paraId="36A47EE9" w14:textId="77777777" w:rsidR="0003286C" w:rsidRPr="0003286C" w:rsidRDefault="0003286C" w:rsidP="005325AE">
            <w:pPr>
              <w:pStyle w:val="DHHStablecolhead"/>
            </w:pPr>
            <w:r w:rsidRPr="0003286C">
              <w:t>Metrics</w:t>
            </w:r>
          </w:p>
        </w:tc>
        <w:tc>
          <w:tcPr>
            <w:tcW w:w="956" w:type="pct"/>
            <w:shd w:val="clear" w:color="auto" w:fill="auto"/>
            <w:noWrap/>
            <w:hideMark/>
          </w:tcPr>
          <w:p w14:paraId="5FA57A4C" w14:textId="77777777" w:rsidR="0003286C" w:rsidRPr="0003286C" w:rsidRDefault="0003286C" w:rsidP="005325AE">
            <w:pPr>
              <w:pStyle w:val="DHHStablecolhead"/>
            </w:pPr>
            <w:r w:rsidRPr="0003286C">
              <w:t>Method of collection</w:t>
            </w:r>
          </w:p>
        </w:tc>
      </w:tr>
      <w:tr w:rsidR="0003286C" w:rsidRPr="0003286C" w14:paraId="5CB9A39D" w14:textId="77777777" w:rsidTr="00D02750">
        <w:trPr>
          <w:trHeight w:val="2390"/>
        </w:trPr>
        <w:tc>
          <w:tcPr>
            <w:tcW w:w="1392" w:type="pct"/>
            <w:tcBorders>
              <w:bottom w:val="single" w:sz="4" w:space="0" w:color="FFFFFF" w:themeColor="background1"/>
            </w:tcBorders>
            <w:shd w:val="clear" w:color="auto" w:fill="auto"/>
            <w:hideMark/>
          </w:tcPr>
          <w:p w14:paraId="59267BD9" w14:textId="77777777" w:rsidR="0003286C" w:rsidRPr="0003286C" w:rsidRDefault="0003286C" w:rsidP="00B43B56">
            <w:pPr>
              <w:pStyle w:val="DHHStabletext"/>
            </w:pPr>
            <w:r w:rsidRPr="0003286C">
              <w:t xml:space="preserve">Including, where relevant, provision of infection control advice, provision of masks, sanitiser and guidance for their use, education and support to follow public health directions and implement COVID-Safe strategies, general resident information collection, enabling facility safety and support for the continued COVID-19 vaccination roll-out and booster program. Depending on evolving needs, support for the vaccination and booster programs may range from reiteration of existing public health messaging to direct vaccination service delivery. </w:t>
            </w:r>
          </w:p>
          <w:p w14:paraId="346A243A" w14:textId="77777777" w:rsidR="0003286C" w:rsidRPr="00D02750" w:rsidRDefault="0003286C" w:rsidP="00D02750">
            <w:pPr>
              <w:pStyle w:val="DHHStabletext"/>
              <w:rPr>
                <w:rStyle w:val="Strong"/>
              </w:rPr>
            </w:pPr>
            <w:r w:rsidRPr="00D02750">
              <w:rPr>
                <w:rStyle w:val="Strong"/>
              </w:rPr>
              <w:t>Monitor current prevention and preparedness strategies</w:t>
            </w:r>
          </w:p>
        </w:tc>
        <w:tc>
          <w:tcPr>
            <w:tcW w:w="1071" w:type="pct"/>
            <w:shd w:val="clear" w:color="auto" w:fill="auto"/>
            <w:hideMark/>
          </w:tcPr>
          <w:p w14:paraId="66FC8A3A" w14:textId="77777777" w:rsidR="0003286C" w:rsidRPr="0003286C" w:rsidRDefault="0003286C" w:rsidP="00B43B56">
            <w:pPr>
              <w:pStyle w:val="DHHStabletext"/>
              <w:rPr>
                <w:rFonts w:cs="Arial"/>
                <w:lang w:eastAsia="en-AU"/>
              </w:rPr>
            </w:pPr>
            <w:r w:rsidRPr="0003286C">
              <w:rPr>
                <w:rFonts w:cs="Arial"/>
                <w:lang w:eastAsia="en-AU"/>
              </w:rPr>
              <w:t xml:space="preserve">Clients/staff of high-risk settings understand and can put into practice prevention and preparedness strategies </w:t>
            </w:r>
          </w:p>
        </w:tc>
        <w:tc>
          <w:tcPr>
            <w:tcW w:w="1581" w:type="pct"/>
            <w:shd w:val="clear" w:color="auto" w:fill="auto"/>
            <w:hideMark/>
          </w:tcPr>
          <w:p w14:paraId="014FC604" w14:textId="77777777" w:rsidR="0003286C" w:rsidRPr="00B43B56" w:rsidRDefault="0003286C" w:rsidP="00B43B56">
            <w:pPr>
              <w:pStyle w:val="Bullet1"/>
            </w:pPr>
            <w:r w:rsidRPr="00B43B56">
              <w:t>How many tenants/residents in the property?</w:t>
            </w:r>
          </w:p>
          <w:p w14:paraId="6C6C2CFD" w14:textId="77777777" w:rsidR="0003286C" w:rsidRPr="00B43B56" w:rsidRDefault="0003286C" w:rsidP="00B43B56">
            <w:pPr>
              <w:pStyle w:val="Bullet1"/>
            </w:pPr>
            <w:r w:rsidRPr="00B43B56">
              <w:t>No of individual residents/tenants engaged in the property (ensure the same person is not counted twice)</w:t>
            </w:r>
          </w:p>
        </w:tc>
        <w:tc>
          <w:tcPr>
            <w:tcW w:w="956" w:type="pct"/>
            <w:shd w:val="clear" w:color="auto" w:fill="auto"/>
            <w:hideMark/>
          </w:tcPr>
          <w:p w14:paraId="0D06E631" w14:textId="77777777" w:rsidR="0003286C" w:rsidRPr="00B43B56" w:rsidRDefault="0003286C" w:rsidP="00B43B56">
            <w:pPr>
              <w:pStyle w:val="Bullet1"/>
            </w:pPr>
            <w:r w:rsidRPr="00B43B56">
              <w:t>Prevention &amp; Preparedness reporting template</w:t>
            </w:r>
          </w:p>
        </w:tc>
      </w:tr>
      <w:tr w:rsidR="0003286C" w:rsidRPr="0003286C" w14:paraId="7FE82564" w14:textId="77777777" w:rsidTr="00D02750">
        <w:trPr>
          <w:trHeight w:val="2990"/>
        </w:trPr>
        <w:tc>
          <w:tcPr>
            <w:tcW w:w="1392" w:type="pct"/>
            <w:tcBorders>
              <w:top w:val="single" w:sz="4" w:space="0" w:color="FFFFFF" w:themeColor="background1"/>
              <w:bottom w:val="single" w:sz="4" w:space="0" w:color="FFFFFF" w:themeColor="background1"/>
            </w:tcBorders>
            <w:shd w:val="clear" w:color="auto" w:fill="auto"/>
            <w:vAlign w:val="center"/>
            <w:hideMark/>
          </w:tcPr>
          <w:p w14:paraId="58C6B89E" w14:textId="77777777" w:rsidR="0003286C" w:rsidRPr="0003286C" w:rsidRDefault="0003286C" w:rsidP="00C51605">
            <w:pPr>
              <w:pStyle w:val="DHHStabletext"/>
              <w:rPr>
                <w:rFonts w:cs="Arial"/>
                <w:sz w:val="21"/>
                <w:szCs w:val="21"/>
                <w:lang w:eastAsia="en-AU"/>
              </w:rPr>
            </w:pPr>
          </w:p>
        </w:tc>
        <w:tc>
          <w:tcPr>
            <w:tcW w:w="1071" w:type="pct"/>
            <w:shd w:val="clear" w:color="auto" w:fill="auto"/>
            <w:hideMark/>
          </w:tcPr>
          <w:p w14:paraId="5AA56588" w14:textId="77777777" w:rsidR="0003286C" w:rsidRPr="00B43B56" w:rsidRDefault="0003286C" w:rsidP="00B43B56">
            <w:pPr>
              <w:pStyle w:val="DHHStabletext"/>
            </w:pPr>
            <w:r w:rsidRPr="00B43B56">
              <w:t>Applicable facilities have on hand COVID Safe plans, and prevention strategies with stocks of appropriate equipment including PPE available – SRS’, Disability, high rise PH, Comm Housing providers</w:t>
            </w:r>
          </w:p>
        </w:tc>
        <w:tc>
          <w:tcPr>
            <w:tcW w:w="1581" w:type="pct"/>
            <w:shd w:val="clear" w:color="auto" w:fill="auto"/>
            <w:hideMark/>
          </w:tcPr>
          <w:p w14:paraId="1634EDF9" w14:textId="77777777" w:rsidR="0003286C" w:rsidRPr="00B43B56" w:rsidRDefault="0003286C" w:rsidP="00B43B56">
            <w:pPr>
              <w:pStyle w:val="Bullet1"/>
            </w:pPr>
            <w:r w:rsidRPr="00B43B56">
              <w:t>No of properties in tiers 1 and 2 where staff are aware of:</w:t>
            </w:r>
          </w:p>
          <w:p w14:paraId="079A1B96" w14:textId="77777777" w:rsidR="0003286C" w:rsidRPr="00B43B56" w:rsidRDefault="0003286C" w:rsidP="00B43B56">
            <w:pPr>
              <w:pStyle w:val="Bullet2"/>
            </w:pPr>
            <w:r w:rsidRPr="00B43B56">
              <w:t>COVID safe plans</w:t>
            </w:r>
          </w:p>
          <w:p w14:paraId="3E2110D3" w14:textId="77777777" w:rsidR="0003286C" w:rsidRPr="00B43B56" w:rsidRDefault="0003286C" w:rsidP="00B43B56">
            <w:pPr>
              <w:pStyle w:val="Bullet2"/>
            </w:pPr>
            <w:r w:rsidRPr="00B43B56">
              <w:t>Prevention strategies</w:t>
            </w:r>
          </w:p>
          <w:p w14:paraId="158F457F" w14:textId="77777777" w:rsidR="0003286C" w:rsidRPr="00B43B56" w:rsidRDefault="0003286C" w:rsidP="00B43B56">
            <w:pPr>
              <w:pStyle w:val="Bullet1"/>
            </w:pPr>
            <w:r w:rsidRPr="00B43B56">
              <w:t>Outbreak management plan</w:t>
            </w:r>
          </w:p>
          <w:p w14:paraId="3469E09F" w14:textId="77777777" w:rsidR="0003286C" w:rsidRPr="00B43B56" w:rsidRDefault="0003286C" w:rsidP="00B43B56">
            <w:pPr>
              <w:pStyle w:val="Bullet1"/>
            </w:pPr>
            <w:r w:rsidRPr="00B43B56">
              <w:t>Appropriate levels of PPE in stock</w:t>
            </w:r>
          </w:p>
          <w:p w14:paraId="5CDAF22D" w14:textId="77777777" w:rsidR="0003286C" w:rsidRPr="00B43B56" w:rsidRDefault="0003286C" w:rsidP="00B43B56">
            <w:pPr>
              <w:pStyle w:val="Bullet1"/>
            </w:pPr>
            <w:r w:rsidRPr="00B43B56">
              <w:t>Simple yes/no – if no, support can be offered to achieve these outcomes but staff, landlords and proprietors are not obliged to cooperate.</w:t>
            </w:r>
          </w:p>
          <w:p w14:paraId="56898DF3" w14:textId="77777777" w:rsidR="0003286C" w:rsidRPr="00B43B56" w:rsidRDefault="0003286C" w:rsidP="00B43B56">
            <w:pPr>
              <w:pStyle w:val="Bullet1"/>
            </w:pPr>
            <w:r w:rsidRPr="00B43B56">
              <w:t>Is an organisational partner working in this space? For example, a Disability Provider may already be working with associated partners and there is clear agreement this will continue.</w:t>
            </w:r>
          </w:p>
        </w:tc>
        <w:tc>
          <w:tcPr>
            <w:tcW w:w="956" w:type="pct"/>
            <w:shd w:val="clear" w:color="auto" w:fill="auto"/>
            <w:hideMark/>
          </w:tcPr>
          <w:p w14:paraId="761788CD" w14:textId="77777777" w:rsidR="0003286C" w:rsidRPr="00B43B56" w:rsidRDefault="0003286C" w:rsidP="00B43B56">
            <w:pPr>
              <w:pStyle w:val="Bullet1"/>
            </w:pPr>
            <w:r w:rsidRPr="00B43B56">
              <w:t>Prevention &amp; Preparedness reporting template</w:t>
            </w:r>
          </w:p>
        </w:tc>
      </w:tr>
      <w:tr w:rsidR="0003286C" w:rsidRPr="0003286C" w14:paraId="438FB736" w14:textId="77777777" w:rsidTr="00D02750">
        <w:trPr>
          <w:trHeight w:val="1730"/>
        </w:trPr>
        <w:tc>
          <w:tcPr>
            <w:tcW w:w="1392" w:type="pct"/>
            <w:tcBorders>
              <w:top w:val="single" w:sz="4" w:space="0" w:color="FFFFFF" w:themeColor="background1"/>
            </w:tcBorders>
            <w:shd w:val="clear" w:color="auto" w:fill="auto"/>
            <w:vAlign w:val="center"/>
            <w:hideMark/>
          </w:tcPr>
          <w:p w14:paraId="07EF7687" w14:textId="77777777" w:rsidR="0003286C" w:rsidRPr="0003286C" w:rsidRDefault="0003286C" w:rsidP="00C51605">
            <w:pPr>
              <w:pStyle w:val="DHHStabletext"/>
              <w:rPr>
                <w:rFonts w:cs="Arial"/>
                <w:sz w:val="21"/>
                <w:szCs w:val="21"/>
                <w:lang w:eastAsia="en-AU"/>
              </w:rPr>
            </w:pPr>
          </w:p>
        </w:tc>
        <w:tc>
          <w:tcPr>
            <w:tcW w:w="1071" w:type="pct"/>
            <w:shd w:val="clear" w:color="auto" w:fill="auto"/>
            <w:hideMark/>
          </w:tcPr>
          <w:p w14:paraId="08A2BCA3" w14:textId="77777777" w:rsidR="0003286C" w:rsidRPr="00B43B56" w:rsidRDefault="0003286C" w:rsidP="00B43B56">
            <w:pPr>
              <w:pStyle w:val="DHHStabletext"/>
            </w:pPr>
            <w:r w:rsidRPr="00B43B56">
              <w:t>Support is provided to all clients/residents who require COVID-19 testing (this will usually be via linkage to testing sites)</w:t>
            </w:r>
          </w:p>
        </w:tc>
        <w:tc>
          <w:tcPr>
            <w:tcW w:w="1581" w:type="pct"/>
            <w:shd w:val="clear" w:color="auto" w:fill="auto"/>
            <w:hideMark/>
          </w:tcPr>
          <w:p w14:paraId="662B7767" w14:textId="77777777" w:rsidR="0003286C" w:rsidRPr="00B43B56" w:rsidRDefault="0003286C" w:rsidP="00B43B56">
            <w:pPr>
              <w:pStyle w:val="Bullet1"/>
            </w:pPr>
            <w:r w:rsidRPr="00B43B56">
              <w:t>No of people Lead Providers supported to test in each tier, the support could be with either resident/tenant or manager/proprietor</w:t>
            </w:r>
          </w:p>
        </w:tc>
        <w:tc>
          <w:tcPr>
            <w:tcW w:w="956" w:type="pct"/>
            <w:shd w:val="clear" w:color="auto" w:fill="auto"/>
            <w:hideMark/>
          </w:tcPr>
          <w:p w14:paraId="2C90A17B" w14:textId="77777777" w:rsidR="0003286C" w:rsidRPr="00B43B56" w:rsidRDefault="0003286C" w:rsidP="00B43B56">
            <w:pPr>
              <w:pStyle w:val="Bullet1"/>
            </w:pPr>
            <w:r w:rsidRPr="00B43B56">
              <w:t>Prevention &amp; Preparedness reporting template</w:t>
            </w:r>
          </w:p>
        </w:tc>
      </w:tr>
      <w:tr w:rsidR="0003286C" w:rsidRPr="0003286C" w14:paraId="3258374E" w14:textId="77777777" w:rsidTr="00D02750">
        <w:trPr>
          <w:trHeight w:val="1730"/>
        </w:trPr>
        <w:tc>
          <w:tcPr>
            <w:tcW w:w="1392" w:type="pct"/>
          </w:tcPr>
          <w:p w14:paraId="117FAAA1" w14:textId="3F1DF131" w:rsidR="0003286C" w:rsidRPr="00D02750" w:rsidRDefault="0003286C" w:rsidP="00D02750">
            <w:pPr>
              <w:pStyle w:val="DHHStabletext"/>
              <w:rPr>
                <w:rStyle w:val="Strong"/>
              </w:rPr>
            </w:pPr>
            <w:r w:rsidRPr="00D02750">
              <w:rPr>
                <w:rStyle w:val="Strong"/>
              </w:rPr>
              <w:t>Vaccine and booster program promotion and support</w:t>
            </w:r>
          </w:p>
        </w:tc>
        <w:tc>
          <w:tcPr>
            <w:tcW w:w="1071" w:type="pct"/>
            <w:shd w:val="clear" w:color="auto" w:fill="auto"/>
          </w:tcPr>
          <w:p w14:paraId="69C19822" w14:textId="7ABAB439" w:rsidR="0003286C" w:rsidRPr="00B43B56" w:rsidRDefault="0003286C" w:rsidP="00B43B56">
            <w:pPr>
              <w:pStyle w:val="DHHStabletext"/>
            </w:pPr>
            <w:r w:rsidRPr="00B43B56">
              <w:t>Residents/tenants/staff provided with vaccination and booster health information in language they require, including accessible communications for people with a disability</w:t>
            </w:r>
          </w:p>
        </w:tc>
        <w:tc>
          <w:tcPr>
            <w:tcW w:w="1581" w:type="pct"/>
            <w:shd w:val="clear" w:color="auto" w:fill="auto"/>
          </w:tcPr>
          <w:p w14:paraId="67A0DD39" w14:textId="77777777" w:rsidR="0003286C" w:rsidRPr="00B43B56" w:rsidRDefault="0003286C" w:rsidP="00B43B56">
            <w:pPr>
              <w:pStyle w:val="Bullet1"/>
            </w:pPr>
            <w:r w:rsidRPr="00B43B56">
              <w:t>No of residents/tenants engaged in the property:</w:t>
            </w:r>
          </w:p>
          <w:p w14:paraId="2153D0EA" w14:textId="77777777" w:rsidR="0003286C" w:rsidRPr="00B43B56" w:rsidRDefault="0003286C" w:rsidP="00B43B56">
            <w:pPr>
              <w:pStyle w:val="Bullet1"/>
            </w:pPr>
            <w:r w:rsidRPr="00B43B56">
              <w:t>vaccine readiness and support / facilitate access</w:t>
            </w:r>
          </w:p>
          <w:p w14:paraId="42F652A7" w14:textId="2782687E" w:rsidR="0003286C" w:rsidRPr="00B43B56" w:rsidRDefault="0003286C" w:rsidP="00B43B56">
            <w:pPr>
              <w:pStyle w:val="Bullet1"/>
            </w:pPr>
            <w:r w:rsidRPr="00B43B56">
              <w:t>identify most appropriate way for vaccine to occur (e.g. outreach support)</w:t>
            </w:r>
          </w:p>
        </w:tc>
        <w:tc>
          <w:tcPr>
            <w:tcW w:w="956" w:type="pct"/>
            <w:shd w:val="clear" w:color="auto" w:fill="auto"/>
          </w:tcPr>
          <w:p w14:paraId="7ECDA5A2" w14:textId="50EF6830" w:rsidR="0003286C" w:rsidRPr="00B43B56" w:rsidRDefault="0003286C" w:rsidP="00B43B56">
            <w:pPr>
              <w:pStyle w:val="Bullet1"/>
            </w:pPr>
            <w:r w:rsidRPr="00B43B56">
              <w:t>Prevention &amp; Preparedness reporting template</w:t>
            </w:r>
          </w:p>
        </w:tc>
      </w:tr>
      <w:tr w:rsidR="0003286C" w:rsidRPr="0003286C" w14:paraId="65BDE439" w14:textId="77777777" w:rsidTr="00D02750">
        <w:trPr>
          <w:trHeight w:val="1730"/>
        </w:trPr>
        <w:tc>
          <w:tcPr>
            <w:tcW w:w="1392" w:type="pct"/>
            <w:vAlign w:val="center"/>
          </w:tcPr>
          <w:p w14:paraId="7F427197" w14:textId="77777777" w:rsidR="0003286C" w:rsidRPr="0003286C" w:rsidRDefault="0003286C" w:rsidP="0003286C">
            <w:pPr>
              <w:pStyle w:val="DHHStabletext"/>
              <w:rPr>
                <w:rFonts w:cs="Arial"/>
                <w:b/>
                <w:bCs/>
                <w:sz w:val="21"/>
                <w:szCs w:val="21"/>
                <w:lang w:eastAsia="en-AU"/>
              </w:rPr>
            </w:pPr>
          </w:p>
        </w:tc>
        <w:tc>
          <w:tcPr>
            <w:tcW w:w="1071" w:type="pct"/>
            <w:shd w:val="clear" w:color="auto" w:fill="auto"/>
          </w:tcPr>
          <w:p w14:paraId="330CBA0C" w14:textId="40E95D30" w:rsidR="0003286C" w:rsidRPr="00B43B56" w:rsidRDefault="0003286C" w:rsidP="00B43B56">
            <w:pPr>
              <w:pStyle w:val="DHHStabletext"/>
            </w:pPr>
            <w:r w:rsidRPr="00B43B56">
              <w:t>Residents/tenants/staff are aware of and are supported to receive ongoing vaccination including booster shots</w:t>
            </w:r>
          </w:p>
        </w:tc>
        <w:tc>
          <w:tcPr>
            <w:tcW w:w="1581" w:type="pct"/>
            <w:shd w:val="clear" w:color="auto" w:fill="auto"/>
          </w:tcPr>
          <w:p w14:paraId="0A4A3282" w14:textId="53A8C54A" w:rsidR="0003286C" w:rsidRPr="00B43B56" w:rsidRDefault="0003286C" w:rsidP="00B43B56">
            <w:pPr>
              <w:pStyle w:val="Bullet1"/>
            </w:pPr>
            <w:r w:rsidRPr="00B43B56">
              <w:t>Good understanding of vaccine benefits and health info</w:t>
            </w:r>
          </w:p>
        </w:tc>
        <w:tc>
          <w:tcPr>
            <w:tcW w:w="956" w:type="pct"/>
            <w:shd w:val="clear" w:color="auto" w:fill="auto"/>
          </w:tcPr>
          <w:p w14:paraId="5B805807" w14:textId="0CA59355" w:rsidR="0003286C" w:rsidRPr="00B43B56" w:rsidRDefault="0003286C" w:rsidP="00B43B56">
            <w:pPr>
              <w:pStyle w:val="Bullet1"/>
            </w:pPr>
            <w:r w:rsidRPr="00B43B56">
              <w:t>Independent research</w:t>
            </w:r>
          </w:p>
        </w:tc>
      </w:tr>
      <w:tr w:rsidR="00D02750" w:rsidRPr="0003286C" w14:paraId="6B659238" w14:textId="77777777" w:rsidTr="00D02750">
        <w:trPr>
          <w:trHeight w:val="1730"/>
        </w:trPr>
        <w:tc>
          <w:tcPr>
            <w:tcW w:w="1392" w:type="pct"/>
          </w:tcPr>
          <w:p w14:paraId="1CF463D1" w14:textId="51BDFA6D" w:rsidR="00D02750" w:rsidRPr="0003286C" w:rsidRDefault="00D02750" w:rsidP="00D02750">
            <w:pPr>
              <w:pStyle w:val="DHHStabletext"/>
              <w:rPr>
                <w:rFonts w:cs="Arial"/>
                <w:b/>
                <w:bCs/>
                <w:sz w:val="21"/>
                <w:szCs w:val="21"/>
                <w:lang w:eastAsia="en-AU"/>
              </w:rPr>
            </w:pPr>
            <w:r w:rsidRPr="00D02750">
              <w:rPr>
                <w:rStyle w:val="Strong"/>
              </w:rPr>
              <w:t>Capture consumer voice and experience</w:t>
            </w:r>
          </w:p>
        </w:tc>
        <w:tc>
          <w:tcPr>
            <w:tcW w:w="1071" w:type="pct"/>
            <w:shd w:val="clear" w:color="auto" w:fill="auto"/>
          </w:tcPr>
          <w:p w14:paraId="021BB707" w14:textId="77777777" w:rsidR="00D02750" w:rsidRPr="00D02750" w:rsidRDefault="00D02750" w:rsidP="00D02750">
            <w:pPr>
              <w:pStyle w:val="DHHStabletext"/>
            </w:pPr>
            <w:r w:rsidRPr="00D02750">
              <w:t>Clients/tenants/residents/staff are confident that they understand COVID infection control practices and are able to implement if needed or know who will support them to do so</w:t>
            </w:r>
          </w:p>
          <w:p w14:paraId="7C493552" w14:textId="77777777" w:rsidR="00D02750" w:rsidRPr="00D02750" w:rsidRDefault="00D02750" w:rsidP="00D02750">
            <w:pPr>
              <w:pStyle w:val="DHHStabletext"/>
            </w:pPr>
            <w:r w:rsidRPr="00D02750">
              <w:t>Clients/tenants/residents/staff have a good understanding of the benefit and positive outcomes attached to COVID vaccinations and will seek to get vaccinated when the vaccine in available to them.</w:t>
            </w:r>
          </w:p>
          <w:p w14:paraId="66A5FCA0" w14:textId="1F8F8A52" w:rsidR="00D02750" w:rsidRPr="00B43B56" w:rsidRDefault="00D02750" w:rsidP="00D02750">
            <w:pPr>
              <w:pStyle w:val="DHHStabletext"/>
            </w:pPr>
            <w:r w:rsidRPr="00D02750">
              <w:t>Client/consumer’s now have a better understanding of who can help and where to go to get help around health and social concerns.</w:t>
            </w:r>
          </w:p>
        </w:tc>
        <w:tc>
          <w:tcPr>
            <w:tcW w:w="1581" w:type="pct"/>
            <w:shd w:val="clear" w:color="auto" w:fill="auto"/>
          </w:tcPr>
          <w:p w14:paraId="4E3522B5" w14:textId="77777777" w:rsidR="00D02750" w:rsidRPr="00D02750" w:rsidRDefault="00D02750" w:rsidP="00D02750">
            <w:pPr>
              <w:pStyle w:val="Bullet1"/>
            </w:pPr>
            <w:r w:rsidRPr="00D02750">
              <w:t>Improved understanding of COVID 19 prevention practices</w:t>
            </w:r>
          </w:p>
          <w:p w14:paraId="67816AF8" w14:textId="77777777" w:rsidR="00D02750" w:rsidRPr="00D02750" w:rsidRDefault="00D02750" w:rsidP="00D02750">
            <w:pPr>
              <w:pStyle w:val="Bullet1"/>
            </w:pPr>
            <w:r w:rsidRPr="00D02750">
              <w:t>Feel empowered to obtain assistance if required</w:t>
            </w:r>
          </w:p>
          <w:p w14:paraId="6AF1978A" w14:textId="77777777" w:rsidR="00D02750" w:rsidRPr="00D02750" w:rsidRDefault="00D02750" w:rsidP="00D02750">
            <w:pPr>
              <w:pStyle w:val="Bullet1"/>
            </w:pPr>
            <w:r w:rsidRPr="00D02750">
              <w:t>Good understanding of vaccine benefits and health info</w:t>
            </w:r>
          </w:p>
          <w:p w14:paraId="08D96CB5" w14:textId="514F751B" w:rsidR="00D02750" w:rsidRPr="00D02750" w:rsidRDefault="00D02750" w:rsidP="00D02750">
            <w:pPr>
              <w:pStyle w:val="Bullet1"/>
            </w:pPr>
            <w:r w:rsidRPr="00D02750">
              <w:t>Improved understanding of community services available to them</w:t>
            </w:r>
          </w:p>
        </w:tc>
        <w:tc>
          <w:tcPr>
            <w:tcW w:w="956" w:type="pct"/>
            <w:shd w:val="clear" w:color="auto" w:fill="auto"/>
          </w:tcPr>
          <w:p w14:paraId="182C026B" w14:textId="3DB1ED6D" w:rsidR="00D02750" w:rsidRPr="00D02750" w:rsidRDefault="00D02750" w:rsidP="00D02750">
            <w:pPr>
              <w:pStyle w:val="Bullet1"/>
            </w:pPr>
            <w:r w:rsidRPr="0003286C">
              <w:t>Independent research</w:t>
            </w:r>
          </w:p>
        </w:tc>
      </w:tr>
      <w:tr w:rsidR="00D02750" w:rsidRPr="0003286C" w14:paraId="380570D5" w14:textId="77777777" w:rsidTr="00D02750">
        <w:trPr>
          <w:trHeight w:val="1730"/>
        </w:trPr>
        <w:tc>
          <w:tcPr>
            <w:tcW w:w="1392" w:type="pct"/>
          </w:tcPr>
          <w:p w14:paraId="11E3BB01" w14:textId="77777777" w:rsidR="00D02750" w:rsidRPr="0003286C" w:rsidRDefault="00D02750" w:rsidP="00D02750">
            <w:pPr>
              <w:pStyle w:val="DHHStabletext"/>
              <w:rPr>
                <w:rFonts w:cs="Arial"/>
                <w:b/>
                <w:bCs/>
                <w:sz w:val="21"/>
                <w:szCs w:val="21"/>
                <w:lang w:eastAsia="en-AU"/>
              </w:rPr>
            </w:pPr>
          </w:p>
        </w:tc>
        <w:tc>
          <w:tcPr>
            <w:tcW w:w="1071" w:type="pct"/>
            <w:shd w:val="clear" w:color="auto" w:fill="auto"/>
          </w:tcPr>
          <w:p w14:paraId="6889CF21" w14:textId="77777777" w:rsidR="00D02750" w:rsidRPr="00B43B56" w:rsidRDefault="00D02750" w:rsidP="00D02750">
            <w:pPr>
              <w:pStyle w:val="DHHStabletext"/>
            </w:pPr>
          </w:p>
        </w:tc>
        <w:tc>
          <w:tcPr>
            <w:tcW w:w="1581" w:type="pct"/>
            <w:shd w:val="clear" w:color="auto" w:fill="auto"/>
          </w:tcPr>
          <w:p w14:paraId="2A505287" w14:textId="77777777" w:rsidR="00D02750" w:rsidRPr="00D02750" w:rsidRDefault="00D02750" w:rsidP="00D02750">
            <w:pPr>
              <w:pStyle w:val="Bullet1"/>
            </w:pPr>
            <w:r w:rsidRPr="00D02750">
              <w:t>Key achievements since last reporting period</w:t>
            </w:r>
          </w:p>
          <w:p w14:paraId="667ACDDF" w14:textId="77777777" w:rsidR="00D02750" w:rsidRPr="00D02750" w:rsidRDefault="00D02750" w:rsidP="00D02750">
            <w:pPr>
              <w:pStyle w:val="Bullet1"/>
            </w:pPr>
            <w:r w:rsidRPr="00D02750">
              <w:t>Security risks/barriers associated with entering properties</w:t>
            </w:r>
          </w:p>
          <w:p w14:paraId="09DC26EB" w14:textId="1038D322" w:rsidR="00D02750" w:rsidRPr="00B43B56" w:rsidRDefault="00D02750" w:rsidP="00D02750">
            <w:pPr>
              <w:pStyle w:val="Bullet1"/>
            </w:pPr>
            <w:r w:rsidRPr="00D02750">
              <w:t>Any other issues/barriers identified preventing completion of this work</w:t>
            </w:r>
          </w:p>
        </w:tc>
        <w:tc>
          <w:tcPr>
            <w:tcW w:w="956" w:type="pct"/>
            <w:shd w:val="clear" w:color="auto" w:fill="auto"/>
          </w:tcPr>
          <w:p w14:paraId="6F088123" w14:textId="77777777" w:rsidR="00D02750" w:rsidRPr="00D02750" w:rsidRDefault="00D02750" w:rsidP="00D02750">
            <w:pPr>
              <w:pStyle w:val="Bullet1"/>
            </w:pPr>
            <w:r w:rsidRPr="00D02750">
              <w:t>Prevention &amp; Preparedness reporting template</w:t>
            </w:r>
          </w:p>
          <w:p w14:paraId="5DCDB77F" w14:textId="344F07FD" w:rsidR="00D02750" w:rsidRPr="00B43B56" w:rsidRDefault="00D02750" w:rsidP="00D02750">
            <w:pPr>
              <w:pStyle w:val="Bullet1"/>
            </w:pPr>
            <w:r w:rsidRPr="00D02750">
              <w:t>Case Studies</w:t>
            </w:r>
          </w:p>
        </w:tc>
      </w:tr>
      <w:tr w:rsidR="00D02750" w:rsidRPr="0003286C" w14:paraId="3E07E4AD" w14:textId="77777777" w:rsidTr="00D02750">
        <w:trPr>
          <w:trHeight w:val="1730"/>
        </w:trPr>
        <w:tc>
          <w:tcPr>
            <w:tcW w:w="1392" w:type="pct"/>
          </w:tcPr>
          <w:p w14:paraId="4861E2A8" w14:textId="379581EB" w:rsidR="00D02750" w:rsidRPr="0003286C" w:rsidRDefault="00D02750" w:rsidP="00D02750">
            <w:pPr>
              <w:pStyle w:val="DHHStabletext"/>
              <w:rPr>
                <w:rFonts w:cs="Arial"/>
                <w:b/>
                <w:bCs/>
                <w:sz w:val="21"/>
                <w:szCs w:val="21"/>
                <w:lang w:eastAsia="en-AU"/>
              </w:rPr>
            </w:pPr>
            <w:r w:rsidRPr="00D02750">
              <w:rPr>
                <w:rStyle w:val="Strong"/>
              </w:rPr>
              <w:t>All</w:t>
            </w:r>
          </w:p>
        </w:tc>
        <w:tc>
          <w:tcPr>
            <w:tcW w:w="1071" w:type="pct"/>
            <w:shd w:val="clear" w:color="auto" w:fill="auto"/>
          </w:tcPr>
          <w:p w14:paraId="6E4125AA" w14:textId="77777777" w:rsidR="00D02750" w:rsidRPr="00B43B56" w:rsidRDefault="00D02750" w:rsidP="00D02750">
            <w:pPr>
              <w:pStyle w:val="DHHStabletext"/>
            </w:pPr>
          </w:p>
        </w:tc>
        <w:tc>
          <w:tcPr>
            <w:tcW w:w="1581" w:type="pct"/>
            <w:shd w:val="clear" w:color="auto" w:fill="auto"/>
          </w:tcPr>
          <w:p w14:paraId="56F23A84" w14:textId="77777777" w:rsidR="00D02750" w:rsidRPr="00D02750" w:rsidRDefault="00D02750" w:rsidP="00D02750">
            <w:pPr>
              <w:pStyle w:val="Bullet1"/>
            </w:pPr>
            <w:r w:rsidRPr="00D02750">
              <w:t>Key achievements since last reporting period</w:t>
            </w:r>
          </w:p>
          <w:p w14:paraId="25BBD057" w14:textId="77777777" w:rsidR="00D02750" w:rsidRPr="00D02750" w:rsidRDefault="00D02750" w:rsidP="00D02750">
            <w:pPr>
              <w:pStyle w:val="Bullet1"/>
            </w:pPr>
            <w:r w:rsidRPr="00D02750">
              <w:t>Security risks/barriers associated with entering properties</w:t>
            </w:r>
          </w:p>
          <w:p w14:paraId="544ED468" w14:textId="31347325" w:rsidR="00D02750" w:rsidRPr="00B43B56" w:rsidRDefault="00D02750" w:rsidP="00D02750">
            <w:pPr>
              <w:pStyle w:val="Bullet1"/>
            </w:pPr>
            <w:r w:rsidRPr="00D02750">
              <w:t>Any other issues/barriers identified preventing completion of this work</w:t>
            </w:r>
          </w:p>
        </w:tc>
        <w:tc>
          <w:tcPr>
            <w:tcW w:w="956" w:type="pct"/>
            <w:shd w:val="clear" w:color="auto" w:fill="auto"/>
          </w:tcPr>
          <w:p w14:paraId="44322E9A" w14:textId="77777777" w:rsidR="00D02750" w:rsidRPr="00D02750" w:rsidRDefault="00D02750" w:rsidP="00D02750">
            <w:pPr>
              <w:pStyle w:val="Bullet1"/>
            </w:pPr>
            <w:r w:rsidRPr="00D02750">
              <w:t>Prevention &amp; Preparedness reporting template</w:t>
            </w:r>
          </w:p>
          <w:p w14:paraId="6F37781D" w14:textId="5432B3D1" w:rsidR="00D02750" w:rsidRPr="00B43B56" w:rsidRDefault="00D02750" w:rsidP="00D02750">
            <w:pPr>
              <w:pStyle w:val="Bullet1"/>
            </w:pPr>
            <w:r w:rsidRPr="00D02750">
              <w:t>Case Studies</w:t>
            </w:r>
          </w:p>
        </w:tc>
      </w:tr>
    </w:tbl>
    <w:p w14:paraId="42A88A25" w14:textId="309DF7EE" w:rsidR="00D02750" w:rsidRDefault="00D02750" w:rsidP="00ED2953">
      <w:pPr>
        <w:pStyle w:val="DHHSbody"/>
        <w:rPr>
          <w:lang w:eastAsia="en-AU"/>
        </w:rPr>
      </w:pPr>
    </w:p>
    <w:p w14:paraId="5E8F5126" w14:textId="77777777" w:rsidR="00E40AC4" w:rsidRDefault="00D02750">
      <w:pPr>
        <w:spacing w:after="0" w:line="240" w:lineRule="auto"/>
        <w:rPr>
          <w:rFonts w:eastAsia="Times"/>
          <w:sz w:val="20"/>
          <w:lang w:eastAsia="en-AU"/>
        </w:rPr>
      </w:pPr>
      <w:r>
        <w:rPr>
          <w:lang w:eastAsia="en-AU"/>
        </w:rPr>
        <w:br w:type="page"/>
      </w:r>
    </w:p>
    <w:p w14:paraId="6861C8D8" w14:textId="72AC7EF4" w:rsidR="0003286C" w:rsidRPr="0003286C" w:rsidRDefault="0003286C" w:rsidP="0003286C">
      <w:pPr>
        <w:pStyle w:val="DHHStablecaption"/>
        <w:rPr>
          <w:rFonts w:cs="Arial"/>
          <w:sz w:val="21"/>
          <w:szCs w:val="21"/>
          <w:lang w:eastAsia="en-AU"/>
        </w:rPr>
      </w:pPr>
      <w:r w:rsidRPr="0003286C">
        <w:rPr>
          <w:rFonts w:cs="Arial"/>
          <w:sz w:val="21"/>
          <w:szCs w:val="21"/>
          <w:lang w:eastAsia="en-AU"/>
        </w:rPr>
        <w:lastRenderedPageBreak/>
        <w:t>Active Linkages</w:t>
      </w:r>
    </w:p>
    <w:tbl>
      <w:tblPr>
        <w:tblW w:w="5084"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Caption w:val="Active Linkages"/>
        <w:tblDescription w:val="Activity; Outcomes; Metrics; Method of collection"/>
      </w:tblPr>
      <w:tblGrid>
        <w:gridCol w:w="2856"/>
        <w:gridCol w:w="2939"/>
        <w:gridCol w:w="2579"/>
        <w:gridCol w:w="2258"/>
      </w:tblGrid>
      <w:tr w:rsidR="0003286C" w:rsidRPr="0003286C" w14:paraId="50C82400" w14:textId="77777777" w:rsidTr="00717ED8">
        <w:trPr>
          <w:trHeight w:val="290"/>
        </w:trPr>
        <w:tc>
          <w:tcPr>
            <w:tcW w:w="1343" w:type="pct"/>
            <w:shd w:val="clear" w:color="auto" w:fill="auto"/>
            <w:noWrap/>
            <w:vAlign w:val="bottom"/>
            <w:hideMark/>
          </w:tcPr>
          <w:p w14:paraId="0A62E2B6" w14:textId="77777777" w:rsidR="0003286C" w:rsidRPr="005325AE" w:rsidRDefault="0003286C" w:rsidP="005325AE">
            <w:pPr>
              <w:pStyle w:val="DHHStablecolhead"/>
            </w:pPr>
            <w:r w:rsidRPr="005325AE">
              <w:t>Activity</w:t>
            </w:r>
          </w:p>
        </w:tc>
        <w:tc>
          <w:tcPr>
            <w:tcW w:w="1382" w:type="pct"/>
            <w:shd w:val="clear" w:color="auto" w:fill="auto"/>
            <w:noWrap/>
            <w:vAlign w:val="bottom"/>
            <w:hideMark/>
          </w:tcPr>
          <w:p w14:paraId="0EA0043C" w14:textId="77777777" w:rsidR="0003286C" w:rsidRPr="005325AE" w:rsidRDefault="0003286C" w:rsidP="005325AE">
            <w:pPr>
              <w:pStyle w:val="DHHStablecolhead"/>
            </w:pPr>
            <w:r w:rsidRPr="005325AE">
              <w:t>Outcomes</w:t>
            </w:r>
          </w:p>
        </w:tc>
        <w:tc>
          <w:tcPr>
            <w:tcW w:w="1213" w:type="pct"/>
            <w:shd w:val="clear" w:color="auto" w:fill="auto"/>
            <w:noWrap/>
            <w:vAlign w:val="bottom"/>
            <w:hideMark/>
          </w:tcPr>
          <w:p w14:paraId="2BCF3A67" w14:textId="77777777" w:rsidR="0003286C" w:rsidRPr="005325AE" w:rsidRDefault="0003286C" w:rsidP="005325AE">
            <w:pPr>
              <w:pStyle w:val="DHHStablecolhead"/>
            </w:pPr>
            <w:r w:rsidRPr="005325AE">
              <w:t>Metrics</w:t>
            </w:r>
          </w:p>
        </w:tc>
        <w:tc>
          <w:tcPr>
            <w:tcW w:w="1062" w:type="pct"/>
            <w:shd w:val="clear" w:color="auto" w:fill="auto"/>
            <w:noWrap/>
            <w:vAlign w:val="bottom"/>
            <w:hideMark/>
          </w:tcPr>
          <w:p w14:paraId="48005BA2" w14:textId="77777777" w:rsidR="0003286C" w:rsidRPr="005325AE" w:rsidRDefault="0003286C" w:rsidP="005325AE">
            <w:pPr>
              <w:pStyle w:val="DHHStablecolhead"/>
            </w:pPr>
            <w:r w:rsidRPr="005325AE">
              <w:t>Method of collection</w:t>
            </w:r>
          </w:p>
        </w:tc>
      </w:tr>
      <w:tr w:rsidR="0003286C" w:rsidRPr="0003286C" w14:paraId="2DD2C341" w14:textId="77777777" w:rsidTr="00175748">
        <w:trPr>
          <w:trHeight w:val="2170"/>
        </w:trPr>
        <w:tc>
          <w:tcPr>
            <w:tcW w:w="1343" w:type="pct"/>
            <w:tcBorders>
              <w:top w:val="single" w:sz="4" w:space="0" w:color="FFFFFF" w:themeColor="background1"/>
              <w:bottom w:val="single" w:sz="4" w:space="0" w:color="FFFFFF" w:themeColor="background1"/>
            </w:tcBorders>
            <w:shd w:val="clear" w:color="auto" w:fill="auto"/>
            <w:hideMark/>
          </w:tcPr>
          <w:p w14:paraId="2919FF26" w14:textId="77777777" w:rsidR="0003286C" w:rsidRPr="00D02750" w:rsidRDefault="0003286C" w:rsidP="00D02750">
            <w:pPr>
              <w:pStyle w:val="DHHStabletext"/>
            </w:pPr>
            <w:r w:rsidRPr="00D02750">
              <w:t xml:space="preserve">Where clients’ presenting needs are holistically assessed and there is proactive linkage to required </w:t>
            </w:r>
          </w:p>
          <w:p w14:paraId="67BA926C" w14:textId="3CFEA178" w:rsidR="0003286C" w:rsidRPr="00D02750" w:rsidRDefault="0003286C" w:rsidP="00D02750">
            <w:pPr>
              <w:pStyle w:val="DHHStabletext"/>
            </w:pPr>
            <w:r w:rsidRPr="00D02750">
              <w:t xml:space="preserve">health and social supports, with the aim of building connection between the individual and the broader service system to address any immediate or ongoing issues. Individual support needs will be variable and require a tailored approach to support-linkage based on initial assessment of presenting issues. This may include active linkage to general practitioners, mental health, alcohol and drug supports, financial aid, food relief and other supports, along with the provision of infection prevention advice. </w:t>
            </w:r>
          </w:p>
        </w:tc>
        <w:tc>
          <w:tcPr>
            <w:tcW w:w="1382" w:type="pct"/>
            <w:tcBorders>
              <w:top w:val="single" w:sz="4" w:space="0" w:color="FFFFFF" w:themeColor="background1"/>
            </w:tcBorders>
            <w:shd w:val="clear" w:color="auto" w:fill="auto"/>
            <w:hideMark/>
          </w:tcPr>
          <w:p w14:paraId="7B9037A3" w14:textId="77777777" w:rsidR="0003286C" w:rsidRPr="00D02750" w:rsidRDefault="0003286C" w:rsidP="00D02750">
            <w:pPr>
              <w:pStyle w:val="DHHStabletext"/>
            </w:pPr>
            <w:r w:rsidRPr="00D02750">
              <w:t>Client presenting needs are identified and met through active linkage to the broader system supports</w:t>
            </w:r>
          </w:p>
        </w:tc>
        <w:tc>
          <w:tcPr>
            <w:tcW w:w="1213" w:type="pct"/>
            <w:tcBorders>
              <w:top w:val="single" w:sz="4" w:space="0" w:color="FFFFFF" w:themeColor="background1"/>
            </w:tcBorders>
            <w:shd w:val="clear" w:color="auto" w:fill="auto"/>
            <w:hideMark/>
          </w:tcPr>
          <w:p w14:paraId="66B35276" w14:textId="77777777" w:rsidR="0003286C" w:rsidRPr="00D02750" w:rsidRDefault="0003286C" w:rsidP="00D02750">
            <w:pPr>
              <w:pStyle w:val="Bullet1"/>
            </w:pPr>
            <w:r w:rsidRPr="00D02750">
              <w:t>No. of people identified as requiring additional supports and what services</w:t>
            </w:r>
          </w:p>
          <w:p w14:paraId="086F6897" w14:textId="77777777" w:rsidR="0003286C" w:rsidRPr="00D02750" w:rsidRDefault="0003286C" w:rsidP="00D02750">
            <w:pPr>
              <w:pStyle w:val="Bullet1"/>
            </w:pPr>
            <w:r w:rsidRPr="00D02750">
              <w:t>No. of people showing interest in additional supports and what services</w:t>
            </w:r>
          </w:p>
          <w:p w14:paraId="350C15AA" w14:textId="77777777" w:rsidR="0003286C" w:rsidRPr="00D02750" w:rsidRDefault="0003286C" w:rsidP="00D02750">
            <w:pPr>
              <w:pStyle w:val="Bullet1"/>
            </w:pPr>
            <w:r w:rsidRPr="00D02750">
              <w:t>No. of referrals to alternate LP services</w:t>
            </w:r>
            <w:r w:rsidRPr="00D02750">
              <w:br/>
              <w:t>No. of referrals to external providers</w:t>
            </w:r>
          </w:p>
          <w:p w14:paraId="2BA7E610" w14:textId="77777777" w:rsidR="0003286C" w:rsidRPr="00D02750" w:rsidRDefault="0003286C" w:rsidP="00D02750">
            <w:pPr>
              <w:pStyle w:val="Bullet1"/>
            </w:pPr>
            <w:r w:rsidRPr="00D02750">
              <w:t>Advocacy needed to address barriers to participation</w:t>
            </w:r>
          </w:p>
        </w:tc>
        <w:tc>
          <w:tcPr>
            <w:tcW w:w="1062" w:type="pct"/>
            <w:tcBorders>
              <w:top w:val="single" w:sz="4" w:space="0" w:color="FFFFFF" w:themeColor="background1"/>
            </w:tcBorders>
            <w:shd w:val="clear" w:color="auto" w:fill="auto"/>
            <w:hideMark/>
          </w:tcPr>
          <w:p w14:paraId="6331BC57" w14:textId="77777777" w:rsidR="0003286C" w:rsidRPr="00D02750" w:rsidRDefault="0003286C" w:rsidP="00D02750">
            <w:pPr>
              <w:pStyle w:val="Bullet1"/>
            </w:pPr>
            <w:r w:rsidRPr="00D02750">
              <w:t>Prevention &amp; Preparedness reporting template</w:t>
            </w:r>
          </w:p>
          <w:p w14:paraId="06134F38" w14:textId="77777777" w:rsidR="0003286C" w:rsidRPr="00D02750" w:rsidRDefault="0003286C" w:rsidP="00D02750">
            <w:pPr>
              <w:pStyle w:val="Bullet1"/>
            </w:pPr>
            <w:r w:rsidRPr="00D02750">
              <w:t>Case Studies</w:t>
            </w:r>
          </w:p>
        </w:tc>
      </w:tr>
      <w:tr w:rsidR="0003286C" w:rsidRPr="0003286C" w14:paraId="32D78BDF" w14:textId="77777777" w:rsidTr="00175748">
        <w:trPr>
          <w:trHeight w:val="1320"/>
        </w:trPr>
        <w:tc>
          <w:tcPr>
            <w:tcW w:w="1343" w:type="pct"/>
            <w:tcBorders>
              <w:top w:val="single" w:sz="4" w:space="0" w:color="FFFFFF" w:themeColor="background1"/>
              <w:bottom w:val="single" w:sz="4" w:space="0" w:color="FFFFFF" w:themeColor="background1"/>
            </w:tcBorders>
            <w:shd w:val="clear" w:color="auto" w:fill="auto"/>
            <w:vAlign w:val="center"/>
            <w:hideMark/>
          </w:tcPr>
          <w:p w14:paraId="09995907" w14:textId="77777777" w:rsidR="0003286C" w:rsidRPr="00D02750" w:rsidRDefault="0003286C" w:rsidP="00D02750">
            <w:pPr>
              <w:pStyle w:val="DHHStabletext"/>
            </w:pPr>
          </w:p>
        </w:tc>
        <w:tc>
          <w:tcPr>
            <w:tcW w:w="1382" w:type="pct"/>
            <w:shd w:val="clear" w:color="auto" w:fill="auto"/>
            <w:hideMark/>
          </w:tcPr>
          <w:p w14:paraId="5AF90ECC" w14:textId="77777777" w:rsidR="0003286C" w:rsidRPr="00D02750" w:rsidRDefault="0003286C" w:rsidP="00D02750">
            <w:pPr>
              <w:pStyle w:val="DHHStabletext"/>
            </w:pPr>
            <w:r w:rsidRPr="00D02750">
              <w:t>Increase client and local community connection to the broader health and social service system</w:t>
            </w:r>
          </w:p>
        </w:tc>
        <w:tc>
          <w:tcPr>
            <w:tcW w:w="1213" w:type="pct"/>
            <w:shd w:val="clear" w:color="auto" w:fill="auto"/>
            <w:hideMark/>
          </w:tcPr>
          <w:p w14:paraId="1FB99D39" w14:textId="77777777" w:rsidR="0003286C" w:rsidRPr="00D02750" w:rsidRDefault="0003286C" w:rsidP="00D02750">
            <w:pPr>
              <w:pStyle w:val="Bullet1"/>
            </w:pPr>
            <w:r w:rsidRPr="00D02750">
              <w:t>After visit from LP, do they feel more informed about services available in the community?</w:t>
            </w:r>
          </w:p>
        </w:tc>
        <w:tc>
          <w:tcPr>
            <w:tcW w:w="1062" w:type="pct"/>
            <w:shd w:val="clear" w:color="auto" w:fill="auto"/>
            <w:hideMark/>
          </w:tcPr>
          <w:p w14:paraId="2ED169E0" w14:textId="77777777" w:rsidR="0003286C" w:rsidRPr="00D02750" w:rsidRDefault="0003286C" w:rsidP="00D02750">
            <w:pPr>
              <w:pStyle w:val="Bullet1"/>
            </w:pPr>
            <w:r w:rsidRPr="00D02750">
              <w:t>Independent research</w:t>
            </w:r>
          </w:p>
        </w:tc>
      </w:tr>
      <w:tr w:rsidR="0003286C" w:rsidRPr="0003286C" w14:paraId="25EF2488" w14:textId="77777777" w:rsidTr="00175748">
        <w:trPr>
          <w:trHeight w:val="1260"/>
        </w:trPr>
        <w:tc>
          <w:tcPr>
            <w:tcW w:w="1343" w:type="pct"/>
            <w:tcBorders>
              <w:top w:val="single" w:sz="4" w:space="0" w:color="FFFFFF" w:themeColor="background1"/>
            </w:tcBorders>
            <w:shd w:val="clear" w:color="auto" w:fill="auto"/>
            <w:vAlign w:val="center"/>
            <w:hideMark/>
          </w:tcPr>
          <w:p w14:paraId="121DA728" w14:textId="77777777" w:rsidR="0003286C" w:rsidRPr="0003286C" w:rsidRDefault="0003286C" w:rsidP="00D02750">
            <w:pPr>
              <w:pStyle w:val="DHHStabletext"/>
              <w:rPr>
                <w:rFonts w:cs="Arial"/>
                <w:sz w:val="21"/>
                <w:szCs w:val="21"/>
              </w:rPr>
            </w:pPr>
          </w:p>
        </w:tc>
        <w:tc>
          <w:tcPr>
            <w:tcW w:w="1382" w:type="pct"/>
            <w:shd w:val="clear" w:color="auto" w:fill="auto"/>
            <w:noWrap/>
            <w:hideMark/>
          </w:tcPr>
          <w:p w14:paraId="16A26567" w14:textId="0F855416" w:rsidR="0003286C" w:rsidRPr="0003286C" w:rsidRDefault="0003286C" w:rsidP="00D02750">
            <w:pPr>
              <w:pStyle w:val="DHHStabletext"/>
              <w:rPr>
                <w:rFonts w:cs="Arial"/>
                <w:sz w:val="21"/>
                <w:szCs w:val="21"/>
              </w:rPr>
            </w:pPr>
          </w:p>
        </w:tc>
        <w:tc>
          <w:tcPr>
            <w:tcW w:w="1213" w:type="pct"/>
            <w:shd w:val="clear" w:color="auto" w:fill="auto"/>
            <w:hideMark/>
          </w:tcPr>
          <w:p w14:paraId="6F18D8E9" w14:textId="77777777" w:rsidR="0003286C" w:rsidRPr="00D02750" w:rsidRDefault="0003286C" w:rsidP="00D02750">
            <w:pPr>
              <w:pStyle w:val="Bullet1"/>
            </w:pPr>
            <w:r w:rsidRPr="00D02750">
              <w:t>Key achievements since last reporting period</w:t>
            </w:r>
          </w:p>
        </w:tc>
        <w:tc>
          <w:tcPr>
            <w:tcW w:w="1062" w:type="pct"/>
            <w:shd w:val="clear" w:color="auto" w:fill="auto"/>
            <w:hideMark/>
          </w:tcPr>
          <w:p w14:paraId="27466133" w14:textId="77777777" w:rsidR="0003286C" w:rsidRPr="00D02750" w:rsidRDefault="0003286C" w:rsidP="00D02750">
            <w:pPr>
              <w:pStyle w:val="Bullet1"/>
            </w:pPr>
            <w:r w:rsidRPr="00D02750">
              <w:t>Prevention &amp; Preparedness reporting template</w:t>
            </w:r>
          </w:p>
          <w:p w14:paraId="520BB36C" w14:textId="77777777" w:rsidR="0003286C" w:rsidRPr="00D02750" w:rsidRDefault="0003286C" w:rsidP="00D02750">
            <w:pPr>
              <w:pStyle w:val="Bullet1"/>
            </w:pPr>
            <w:r w:rsidRPr="00D02750">
              <w:t>Case Studies</w:t>
            </w:r>
          </w:p>
        </w:tc>
      </w:tr>
    </w:tbl>
    <w:p w14:paraId="13AA1EF2" w14:textId="77777777" w:rsidR="0003286C" w:rsidRPr="00D02750" w:rsidRDefault="0003286C" w:rsidP="00D02750">
      <w:pPr>
        <w:pStyle w:val="DHHStablecaption"/>
      </w:pPr>
      <w:r w:rsidRPr="00D02750">
        <w:t>Other</w:t>
      </w:r>
    </w:p>
    <w:tbl>
      <w:tblPr>
        <w:tblW w:w="5084"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Caption w:val="Other"/>
        <w:tblDescription w:val="Activity; Outcomes; Metrics; Method of collection"/>
      </w:tblPr>
      <w:tblGrid>
        <w:gridCol w:w="2857"/>
        <w:gridCol w:w="2956"/>
        <w:gridCol w:w="2552"/>
        <w:gridCol w:w="2267"/>
      </w:tblGrid>
      <w:tr w:rsidR="00717ED8" w:rsidRPr="0003286C" w14:paraId="5E73001F" w14:textId="77777777" w:rsidTr="00717ED8">
        <w:trPr>
          <w:trHeight w:val="290"/>
        </w:trPr>
        <w:tc>
          <w:tcPr>
            <w:tcW w:w="1344" w:type="pct"/>
            <w:shd w:val="clear" w:color="auto" w:fill="FFFFFF" w:themeFill="background1"/>
            <w:noWrap/>
            <w:vAlign w:val="bottom"/>
            <w:hideMark/>
          </w:tcPr>
          <w:p w14:paraId="0071EB55" w14:textId="77777777" w:rsidR="0003286C" w:rsidRPr="005325AE" w:rsidRDefault="0003286C" w:rsidP="005325AE">
            <w:pPr>
              <w:pStyle w:val="DHHStablecolhead"/>
            </w:pPr>
            <w:r w:rsidRPr="005325AE">
              <w:t> Activity</w:t>
            </w:r>
          </w:p>
        </w:tc>
        <w:tc>
          <w:tcPr>
            <w:tcW w:w="1390" w:type="pct"/>
            <w:shd w:val="clear" w:color="auto" w:fill="FFFFFF" w:themeFill="background1"/>
            <w:noWrap/>
            <w:vAlign w:val="bottom"/>
            <w:hideMark/>
          </w:tcPr>
          <w:p w14:paraId="2D5DBEF2" w14:textId="77777777" w:rsidR="0003286C" w:rsidRPr="005325AE" w:rsidRDefault="0003286C" w:rsidP="005325AE">
            <w:pPr>
              <w:pStyle w:val="DHHStablecolhead"/>
            </w:pPr>
            <w:r w:rsidRPr="005325AE">
              <w:t>Outcomes</w:t>
            </w:r>
          </w:p>
        </w:tc>
        <w:tc>
          <w:tcPr>
            <w:tcW w:w="1200" w:type="pct"/>
            <w:shd w:val="clear" w:color="auto" w:fill="FFFFFF" w:themeFill="background1"/>
            <w:noWrap/>
            <w:vAlign w:val="bottom"/>
            <w:hideMark/>
          </w:tcPr>
          <w:p w14:paraId="0073240F" w14:textId="77777777" w:rsidR="0003286C" w:rsidRPr="005325AE" w:rsidRDefault="0003286C" w:rsidP="005325AE">
            <w:pPr>
              <w:pStyle w:val="DHHStablecolhead"/>
            </w:pPr>
            <w:r w:rsidRPr="005325AE">
              <w:t>Metrics</w:t>
            </w:r>
          </w:p>
        </w:tc>
        <w:tc>
          <w:tcPr>
            <w:tcW w:w="1067" w:type="pct"/>
            <w:shd w:val="clear" w:color="auto" w:fill="FFFFFF" w:themeFill="background1"/>
            <w:noWrap/>
            <w:vAlign w:val="bottom"/>
            <w:hideMark/>
          </w:tcPr>
          <w:p w14:paraId="5C3AFFC5" w14:textId="77777777" w:rsidR="0003286C" w:rsidRPr="005325AE" w:rsidRDefault="0003286C" w:rsidP="005325AE">
            <w:pPr>
              <w:pStyle w:val="DHHStablecolhead"/>
            </w:pPr>
            <w:r w:rsidRPr="005325AE">
              <w:t>Method of collection</w:t>
            </w:r>
          </w:p>
        </w:tc>
      </w:tr>
      <w:tr w:rsidR="0003286C" w:rsidRPr="0003286C" w14:paraId="04188D91" w14:textId="77777777" w:rsidTr="00717ED8">
        <w:trPr>
          <w:trHeight w:val="1850"/>
        </w:trPr>
        <w:tc>
          <w:tcPr>
            <w:tcW w:w="1344" w:type="pct"/>
            <w:shd w:val="clear" w:color="auto" w:fill="auto"/>
            <w:hideMark/>
          </w:tcPr>
          <w:p w14:paraId="7CD880E5" w14:textId="77777777" w:rsidR="0003286C" w:rsidRPr="00D02750" w:rsidRDefault="0003286C" w:rsidP="00D02750">
            <w:pPr>
              <w:pStyle w:val="DHHStabletext"/>
            </w:pPr>
            <w:r w:rsidRPr="00D02750">
              <w:t> </w:t>
            </w:r>
          </w:p>
        </w:tc>
        <w:tc>
          <w:tcPr>
            <w:tcW w:w="1390" w:type="pct"/>
            <w:shd w:val="clear" w:color="auto" w:fill="auto"/>
            <w:hideMark/>
          </w:tcPr>
          <w:p w14:paraId="18D5D704" w14:textId="77777777" w:rsidR="0003286C" w:rsidRPr="00D02750" w:rsidRDefault="0003286C" w:rsidP="00D02750">
            <w:pPr>
              <w:pStyle w:val="DHHStabletext"/>
            </w:pPr>
            <w:r w:rsidRPr="00D02750">
              <w:t>People are employed for the HRAR program in community engagement and communications roles where possible/appropriate (e.g., concierge roles, advocacy roles) </w:t>
            </w:r>
          </w:p>
        </w:tc>
        <w:tc>
          <w:tcPr>
            <w:tcW w:w="1200" w:type="pct"/>
            <w:shd w:val="clear" w:color="auto" w:fill="auto"/>
            <w:hideMark/>
          </w:tcPr>
          <w:p w14:paraId="5EA677D0" w14:textId="77777777" w:rsidR="0003286C" w:rsidRPr="00D02750" w:rsidRDefault="0003286C" w:rsidP="00D02750">
            <w:pPr>
              <w:pStyle w:val="Bullet1"/>
            </w:pPr>
            <w:r w:rsidRPr="00D02750">
              <w:t>No. of people employed as a result of the HRAR program</w:t>
            </w:r>
          </w:p>
        </w:tc>
        <w:tc>
          <w:tcPr>
            <w:tcW w:w="1067" w:type="pct"/>
            <w:shd w:val="clear" w:color="auto" w:fill="auto"/>
            <w:hideMark/>
          </w:tcPr>
          <w:p w14:paraId="334F4BB7" w14:textId="77777777" w:rsidR="0003286C" w:rsidRPr="00D02750" w:rsidRDefault="0003286C" w:rsidP="00D02750">
            <w:pPr>
              <w:pStyle w:val="Bullet1"/>
            </w:pPr>
            <w:r w:rsidRPr="00D02750">
              <w:t>Prevention &amp; Preparedness reporting template</w:t>
            </w:r>
          </w:p>
        </w:tc>
      </w:tr>
    </w:tbl>
    <w:p w14:paraId="01C42A81" w14:textId="77777777" w:rsidR="00D02750" w:rsidRDefault="00D02750" w:rsidP="0003286C">
      <w:pPr>
        <w:rPr>
          <w:rFonts w:cs="Arial"/>
          <w:szCs w:val="21"/>
          <w:lang w:eastAsia="en-AU"/>
        </w:rPr>
      </w:pPr>
    </w:p>
    <w:p w14:paraId="415B8FA5" w14:textId="77777777" w:rsidR="00D02750" w:rsidRDefault="00D02750">
      <w:pPr>
        <w:spacing w:after="0" w:line="240" w:lineRule="auto"/>
        <w:rPr>
          <w:rFonts w:cs="Arial"/>
          <w:szCs w:val="21"/>
          <w:lang w:eastAsia="en-AU"/>
        </w:rPr>
      </w:pPr>
      <w:r>
        <w:rPr>
          <w:rFonts w:cs="Arial"/>
          <w:szCs w:val="21"/>
          <w:lang w:eastAsia="en-AU"/>
        </w:rPr>
        <w:br w:type="page"/>
      </w:r>
    </w:p>
    <w:p w14:paraId="1BF2443B" w14:textId="55E286D6" w:rsidR="0003286C" w:rsidRPr="0003286C" w:rsidRDefault="0003286C" w:rsidP="00D02750">
      <w:pPr>
        <w:pStyle w:val="DHHStablecaption"/>
        <w:rPr>
          <w:lang w:eastAsia="en-AU"/>
        </w:rPr>
      </w:pPr>
      <w:r w:rsidRPr="0003286C">
        <w:rPr>
          <w:lang w:eastAsia="en-AU"/>
        </w:rPr>
        <w:lastRenderedPageBreak/>
        <w:t>Outbreak</w:t>
      </w:r>
    </w:p>
    <w:tbl>
      <w:tblPr>
        <w:tblW w:w="5081" w:type="pct"/>
        <w:tblInd w:w="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Caption w:val="Outbreak"/>
        <w:tblDescription w:val="Activity; Outcomes; Metrics; Method of collection"/>
      </w:tblPr>
      <w:tblGrid>
        <w:gridCol w:w="2654"/>
        <w:gridCol w:w="2805"/>
        <w:gridCol w:w="2777"/>
        <w:gridCol w:w="2389"/>
      </w:tblGrid>
      <w:tr w:rsidR="00D02750" w:rsidRPr="00D02750" w14:paraId="4CD3B8AC" w14:textId="77777777" w:rsidTr="00717ED8">
        <w:trPr>
          <w:trHeight w:val="290"/>
        </w:trPr>
        <w:tc>
          <w:tcPr>
            <w:tcW w:w="1249" w:type="pct"/>
            <w:shd w:val="clear" w:color="auto" w:fill="auto"/>
            <w:noWrap/>
            <w:vAlign w:val="bottom"/>
            <w:hideMark/>
          </w:tcPr>
          <w:p w14:paraId="38305C82" w14:textId="77777777" w:rsidR="0003286C" w:rsidRPr="005325AE" w:rsidRDefault="0003286C" w:rsidP="005325AE">
            <w:pPr>
              <w:pStyle w:val="DHHStablecolhead"/>
            </w:pPr>
            <w:r w:rsidRPr="005325AE">
              <w:t>Activity</w:t>
            </w:r>
          </w:p>
        </w:tc>
        <w:tc>
          <w:tcPr>
            <w:tcW w:w="1320" w:type="pct"/>
            <w:shd w:val="clear" w:color="auto" w:fill="auto"/>
            <w:noWrap/>
            <w:vAlign w:val="bottom"/>
            <w:hideMark/>
          </w:tcPr>
          <w:p w14:paraId="3259AF3C" w14:textId="77777777" w:rsidR="0003286C" w:rsidRPr="005325AE" w:rsidRDefault="0003286C" w:rsidP="005325AE">
            <w:pPr>
              <w:pStyle w:val="DHHStablecolhead"/>
            </w:pPr>
            <w:r w:rsidRPr="005325AE">
              <w:t>Outcomes</w:t>
            </w:r>
          </w:p>
        </w:tc>
        <w:tc>
          <w:tcPr>
            <w:tcW w:w="1307" w:type="pct"/>
            <w:shd w:val="clear" w:color="auto" w:fill="auto"/>
            <w:noWrap/>
            <w:vAlign w:val="bottom"/>
            <w:hideMark/>
          </w:tcPr>
          <w:p w14:paraId="35A459A1" w14:textId="77777777" w:rsidR="0003286C" w:rsidRPr="005325AE" w:rsidRDefault="0003286C" w:rsidP="005325AE">
            <w:pPr>
              <w:pStyle w:val="DHHStablecolhead"/>
            </w:pPr>
            <w:r w:rsidRPr="005325AE">
              <w:t>Metrics</w:t>
            </w:r>
          </w:p>
        </w:tc>
        <w:tc>
          <w:tcPr>
            <w:tcW w:w="1124" w:type="pct"/>
            <w:shd w:val="clear" w:color="auto" w:fill="auto"/>
            <w:noWrap/>
            <w:vAlign w:val="bottom"/>
            <w:hideMark/>
          </w:tcPr>
          <w:p w14:paraId="7D0F3E3E" w14:textId="77777777" w:rsidR="0003286C" w:rsidRPr="005325AE" w:rsidRDefault="0003286C" w:rsidP="005325AE">
            <w:pPr>
              <w:pStyle w:val="DHHStablecolhead"/>
            </w:pPr>
            <w:r w:rsidRPr="005325AE">
              <w:t>Method of collection</w:t>
            </w:r>
          </w:p>
        </w:tc>
      </w:tr>
      <w:tr w:rsidR="00717ED8" w:rsidRPr="00D02750" w14:paraId="0080BA0D" w14:textId="77777777" w:rsidTr="00717ED8">
        <w:trPr>
          <w:trHeight w:val="5139"/>
        </w:trPr>
        <w:tc>
          <w:tcPr>
            <w:tcW w:w="1249" w:type="pct"/>
            <w:shd w:val="clear" w:color="auto" w:fill="auto"/>
            <w:hideMark/>
          </w:tcPr>
          <w:p w14:paraId="71608AE7" w14:textId="77777777" w:rsidR="0003286C" w:rsidRPr="00D02750" w:rsidRDefault="0003286C" w:rsidP="00D02750">
            <w:pPr>
              <w:pStyle w:val="DHHStabletext"/>
            </w:pPr>
            <w:r w:rsidRPr="00D02750">
              <w:t xml:space="preserve">As part of an Outbreak Management Team led by the Department of Health (DH) and/or Incident Management Teams led by DFFH, support confirmed cases and outbreaks which may include facilitating access to testing or to safe, alternate accommodation, reiterating public health messaging and enabling access to food, material aid and other health and social supports for people with heightened or complex needs. </w:t>
            </w:r>
          </w:p>
        </w:tc>
        <w:tc>
          <w:tcPr>
            <w:tcW w:w="1320" w:type="pct"/>
            <w:shd w:val="clear" w:color="auto" w:fill="auto"/>
            <w:hideMark/>
          </w:tcPr>
          <w:p w14:paraId="1FBDB9C1" w14:textId="77777777" w:rsidR="0003286C" w:rsidRPr="00D02750" w:rsidRDefault="0003286C" w:rsidP="00D02750">
            <w:pPr>
              <w:pStyle w:val="DHHStabletext"/>
            </w:pPr>
            <w:r w:rsidRPr="00D02750">
              <w:t>Provide support to confirmed cases as directed by DH and/or DFFH which may include:</w:t>
            </w:r>
          </w:p>
          <w:p w14:paraId="4C8BE213" w14:textId="77777777" w:rsidR="0003286C" w:rsidRPr="00D02750" w:rsidRDefault="0003286C" w:rsidP="00D02750">
            <w:pPr>
              <w:pStyle w:val="Bullet1"/>
            </w:pPr>
            <w:r w:rsidRPr="00D02750">
              <w:t>facilitating access to testing</w:t>
            </w:r>
          </w:p>
          <w:p w14:paraId="2D6CDF40" w14:textId="77777777" w:rsidR="0003286C" w:rsidRPr="00D02750" w:rsidRDefault="0003286C" w:rsidP="00D02750">
            <w:pPr>
              <w:pStyle w:val="Bullet1"/>
            </w:pPr>
            <w:r w:rsidRPr="00D02750">
              <w:t xml:space="preserve">reiterating public health messaging  </w:t>
            </w:r>
          </w:p>
          <w:p w14:paraId="44BD66C0" w14:textId="77777777" w:rsidR="0003286C" w:rsidRPr="00D02750" w:rsidRDefault="0003286C" w:rsidP="00D02750">
            <w:pPr>
              <w:pStyle w:val="Bullet1"/>
            </w:pPr>
            <w:r w:rsidRPr="00D02750">
              <w:t xml:space="preserve">enabling access to culturally appropriate food, material aid and other health and social supports for people with heightened or complex needs. </w:t>
            </w:r>
          </w:p>
        </w:tc>
        <w:tc>
          <w:tcPr>
            <w:tcW w:w="1307" w:type="pct"/>
            <w:shd w:val="clear" w:color="auto" w:fill="auto"/>
            <w:hideMark/>
          </w:tcPr>
          <w:p w14:paraId="311BBF0C" w14:textId="77777777" w:rsidR="0003286C" w:rsidRPr="00D02750" w:rsidRDefault="0003286C" w:rsidP="00D02750">
            <w:pPr>
              <w:pStyle w:val="DHHStabletext"/>
            </w:pPr>
            <w:r w:rsidRPr="00D02750">
              <w:t>Documented process for deploying resources in the event of an identified transmission and/or outbreak, include need for diverse culture and accessible communication plan:</w:t>
            </w:r>
          </w:p>
          <w:p w14:paraId="107D0D66" w14:textId="77777777" w:rsidR="0003286C" w:rsidRPr="00D02750" w:rsidRDefault="0003286C" w:rsidP="00D02750">
            <w:pPr>
              <w:pStyle w:val="Bullet1"/>
            </w:pPr>
            <w:r w:rsidRPr="00D02750">
              <w:t>Engagement activity (following assessment of outbreak and resident/community needs)</w:t>
            </w:r>
          </w:p>
          <w:p w14:paraId="2877B3F5" w14:textId="77777777" w:rsidR="0003286C" w:rsidRPr="00D02750" w:rsidRDefault="0003286C" w:rsidP="00D02750">
            <w:pPr>
              <w:pStyle w:val="Bullet1"/>
            </w:pPr>
            <w:r w:rsidRPr="00D02750">
              <w:t>Resources distributed and received</w:t>
            </w:r>
          </w:p>
          <w:p w14:paraId="133F96CC" w14:textId="77777777" w:rsidR="0003286C" w:rsidRPr="00D02750" w:rsidRDefault="0003286C" w:rsidP="00D02750">
            <w:pPr>
              <w:pStyle w:val="Bullet1"/>
            </w:pPr>
            <w:r w:rsidRPr="00D02750">
              <w:t>On the spot covid-19 testing for residents (only if able to test)</w:t>
            </w:r>
          </w:p>
          <w:p w14:paraId="0988CCF4" w14:textId="77777777" w:rsidR="0003286C" w:rsidRPr="00D02750" w:rsidRDefault="0003286C" w:rsidP="00D02750">
            <w:pPr>
              <w:pStyle w:val="Bullet1"/>
            </w:pPr>
            <w:r w:rsidRPr="00D02750">
              <w:t>Hotel quarantine or other forms of temporary accommodation during isolation period</w:t>
            </w:r>
          </w:p>
          <w:p w14:paraId="602B72FF" w14:textId="77777777" w:rsidR="0003286C" w:rsidRPr="00D02750" w:rsidRDefault="0003286C" w:rsidP="00D02750">
            <w:pPr>
              <w:pStyle w:val="Bullet1"/>
            </w:pPr>
            <w:r w:rsidRPr="00D02750">
              <w:t>Relief support</w:t>
            </w:r>
          </w:p>
          <w:p w14:paraId="7DE78FFA" w14:textId="77777777" w:rsidR="0003286C" w:rsidRPr="00D02750" w:rsidRDefault="0003286C" w:rsidP="00D02750">
            <w:pPr>
              <w:pStyle w:val="Bullet1"/>
            </w:pPr>
            <w:r w:rsidRPr="00D02750">
              <w:t>Non-Compliance</w:t>
            </w:r>
          </w:p>
          <w:p w14:paraId="378B66E0" w14:textId="77777777" w:rsidR="0003286C" w:rsidRPr="00D02750" w:rsidRDefault="0003286C" w:rsidP="00D02750">
            <w:pPr>
              <w:pStyle w:val="Bullet1"/>
            </w:pPr>
            <w:r w:rsidRPr="00D02750">
              <w:t>Workforce/plans for service continuity to meet needs of residents</w:t>
            </w:r>
          </w:p>
        </w:tc>
        <w:tc>
          <w:tcPr>
            <w:tcW w:w="1124" w:type="pct"/>
            <w:shd w:val="clear" w:color="auto" w:fill="auto"/>
            <w:hideMark/>
          </w:tcPr>
          <w:p w14:paraId="79F67F5B" w14:textId="77777777" w:rsidR="0003286C" w:rsidRPr="00D02750" w:rsidRDefault="0003286C" w:rsidP="00D02750">
            <w:pPr>
              <w:pStyle w:val="Bullet1"/>
            </w:pPr>
            <w:r w:rsidRPr="00D02750">
              <w:t>Prevention &amp; Preparedness reporting template</w:t>
            </w:r>
          </w:p>
        </w:tc>
      </w:tr>
    </w:tbl>
    <w:p w14:paraId="24AC12B5" w14:textId="77777777" w:rsidR="00C51605" w:rsidRPr="00D02750" w:rsidRDefault="00C51605" w:rsidP="00D02750">
      <w:pPr>
        <w:pStyle w:val="Heading1"/>
      </w:pPr>
      <w:bookmarkStart w:id="64" w:name="_Toc93219793"/>
      <w:bookmarkStart w:id="65" w:name="_Toc93905406"/>
      <w:r w:rsidRPr="00D02750">
        <w:t>Other requirements</w:t>
      </w:r>
      <w:bookmarkEnd w:id="64"/>
      <w:bookmarkEnd w:id="65"/>
    </w:p>
    <w:p w14:paraId="78566984" w14:textId="77777777" w:rsidR="00C51605" w:rsidRPr="00D02750" w:rsidRDefault="00C51605" w:rsidP="00D02750">
      <w:pPr>
        <w:pStyle w:val="Heading2"/>
      </w:pPr>
      <w:bookmarkStart w:id="66" w:name="_Toc93219794"/>
      <w:bookmarkStart w:id="67" w:name="_Toc93905407"/>
      <w:r w:rsidRPr="00D02750">
        <w:t>Funding model</w:t>
      </w:r>
      <w:bookmarkEnd w:id="66"/>
      <w:bookmarkEnd w:id="67"/>
    </w:p>
    <w:p w14:paraId="261ADCE6" w14:textId="77777777" w:rsidR="00C51605" w:rsidRPr="00C51605" w:rsidRDefault="00C51605" w:rsidP="00D02750">
      <w:pPr>
        <w:pStyle w:val="DHHSbody"/>
      </w:pPr>
      <w:r w:rsidRPr="00C51605">
        <w:t>Lead providers continue to be funded for the delivery of the five service pillars of the HRAR Extension (January 2022) across all in-scope properties at unit cost. Unit costs assume an average length of engagement.</w:t>
      </w:r>
    </w:p>
    <w:p w14:paraId="5359E247" w14:textId="77777777" w:rsidR="005F1F38" w:rsidRPr="009376ED" w:rsidRDefault="00C51605" w:rsidP="009376ED">
      <w:pPr>
        <w:pStyle w:val="DHHSbody"/>
        <w:rPr>
          <w:rStyle w:val="Strong"/>
          <w:highlight w:val="yellow"/>
        </w:rPr>
      </w:pPr>
      <w:r w:rsidRPr="009376ED">
        <w:rPr>
          <w:rStyle w:val="Strong"/>
          <w:highlight w:val="yellow"/>
        </w:rPr>
        <w:t>Baseline funding</w:t>
      </w:r>
    </w:p>
    <w:p w14:paraId="6F99256A" w14:textId="327F2923" w:rsidR="00C51605" w:rsidRPr="00C51605" w:rsidRDefault="00C51605" w:rsidP="00D02750">
      <w:pPr>
        <w:pStyle w:val="DHHSbody"/>
        <w:rPr>
          <w:highlight w:val="yellow"/>
        </w:rPr>
      </w:pPr>
      <w:r w:rsidRPr="00C51605">
        <w:rPr>
          <w:highlight w:val="yellow"/>
        </w:rPr>
        <w:t xml:space="preserve">Covers the cost of activities under the five pillars that is to be undertaken by Lead Providers with an increased focus on the broader social recovery of individuals and communities. Specific funding amounts for Lead Providers under this funding platform were considered in the High-Risk Accommodation Response Extension Service Specifications and amounts calculated as part of that body of work. </w:t>
      </w:r>
    </w:p>
    <w:p w14:paraId="613D46BF" w14:textId="77777777" w:rsidR="00C51605" w:rsidRPr="00C51605" w:rsidRDefault="00C51605" w:rsidP="00D02750">
      <w:pPr>
        <w:pStyle w:val="DHHSbody"/>
        <w:rPr>
          <w:szCs w:val="21"/>
        </w:rPr>
      </w:pPr>
      <w:r w:rsidRPr="00C51605">
        <w:rPr>
          <w:szCs w:val="21"/>
          <w:highlight w:val="yellow"/>
        </w:rPr>
        <w:t>Activities related to assisting those required to isolate due to status as a close contacts and additional surveillance testing are also covered.</w:t>
      </w:r>
    </w:p>
    <w:p w14:paraId="388E1591" w14:textId="3DDE3750" w:rsidR="005F1F38" w:rsidRPr="009376ED" w:rsidRDefault="00C51605" w:rsidP="009376ED">
      <w:pPr>
        <w:pStyle w:val="DHHSbody"/>
        <w:rPr>
          <w:rStyle w:val="Strong"/>
          <w:highlight w:val="yellow"/>
        </w:rPr>
      </w:pPr>
      <w:r w:rsidRPr="009376ED">
        <w:rPr>
          <w:rStyle w:val="Strong"/>
          <w:highlight w:val="yellow"/>
        </w:rPr>
        <w:t>Outbreak funding</w:t>
      </w:r>
    </w:p>
    <w:p w14:paraId="06CFF551" w14:textId="5E81E72A" w:rsidR="00C51605" w:rsidRPr="00C51605" w:rsidRDefault="00C51605" w:rsidP="00D02750">
      <w:pPr>
        <w:pStyle w:val="DHHSbody"/>
        <w:rPr>
          <w:highlight w:val="yellow"/>
        </w:rPr>
      </w:pPr>
      <w:r w:rsidRPr="00C51605">
        <w:rPr>
          <w:highlight w:val="yellow"/>
        </w:rPr>
        <w:t>Costs to providers of supporting DH and DFFH to respond to COVID-19 outbreaks (where positive COVID-19 case(s) are directly involved) including activities arising from Incident Management Teams, Outbreak Management Teams or other forums established to manage the outbreak response.</w:t>
      </w:r>
    </w:p>
    <w:p w14:paraId="7302D56D" w14:textId="6BC42067" w:rsidR="00C51605" w:rsidRDefault="00C51605" w:rsidP="00D02750">
      <w:pPr>
        <w:pStyle w:val="DHHSbody"/>
      </w:pPr>
      <w:r w:rsidRPr="00C51605">
        <w:rPr>
          <w:highlight w:val="yellow"/>
        </w:rPr>
        <w:t>The costs deployed to provide agreed outbreak services are now included in the baseline funding and to be recorded as part of the monthly expenditure acquittal process (separate invoice to be funded retrospectively is no longer required).</w:t>
      </w:r>
      <w:r w:rsidRPr="00C51605">
        <w:t xml:space="preserve"> </w:t>
      </w:r>
    </w:p>
    <w:p w14:paraId="4EC2AEDB" w14:textId="77777777" w:rsidR="00C51605" w:rsidRPr="005F1F38" w:rsidRDefault="00C51605" w:rsidP="005F1F38">
      <w:pPr>
        <w:pStyle w:val="Heading2"/>
      </w:pPr>
      <w:bookmarkStart w:id="68" w:name="_Toc93219795"/>
      <w:bookmarkStart w:id="69" w:name="_Toc93905408"/>
      <w:bookmarkStart w:id="70" w:name="_Toc49708673"/>
      <w:bookmarkStart w:id="71" w:name="_Toc46835444"/>
      <w:r w:rsidRPr="005F1F38">
        <w:lastRenderedPageBreak/>
        <w:t>Information Sharing and Privacy</w:t>
      </w:r>
      <w:bookmarkEnd w:id="68"/>
      <w:bookmarkEnd w:id="69"/>
    </w:p>
    <w:p w14:paraId="1DBAF5EE" w14:textId="77777777" w:rsidR="00C51605" w:rsidRPr="005F1F38" w:rsidRDefault="00C51605" w:rsidP="005F1F38">
      <w:pPr>
        <w:pStyle w:val="DHHSbody"/>
      </w:pPr>
      <w:r w:rsidRPr="005F1F38">
        <w:t>The department is committed to safeguarding privacy and confidential information. Lead Providers will only collect, use and disclose confidential information (including personal and health information):</w:t>
      </w:r>
    </w:p>
    <w:p w14:paraId="2879744B" w14:textId="77777777" w:rsidR="00C51605" w:rsidRPr="00C51605" w:rsidRDefault="00C51605" w:rsidP="005F1F38">
      <w:pPr>
        <w:pStyle w:val="Bullet1"/>
      </w:pPr>
      <w:r w:rsidRPr="00C51605">
        <w:t xml:space="preserve">In line with relevant laws, including the </w:t>
      </w:r>
      <w:r w:rsidRPr="005F1F38">
        <w:rPr>
          <w:rStyle w:val="Emphasis"/>
        </w:rPr>
        <w:t>Privacy and Data Protection Act 2014 (Vic)</w:t>
      </w:r>
      <w:r w:rsidRPr="00C51605">
        <w:t xml:space="preserve"> and the </w:t>
      </w:r>
      <w:r w:rsidRPr="005F1F38">
        <w:rPr>
          <w:rStyle w:val="Emphasis"/>
        </w:rPr>
        <w:t>Health Records Act 2001 (Vic)</w:t>
      </w:r>
      <w:r w:rsidRPr="00C51605">
        <w:t xml:space="preserve"> and the </w:t>
      </w:r>
      <w:r w:rsidRPr="005F1F38">
        <w:rPr>
          <w:rStyle w:val="Emphasis"/>
        </w:rPr>
        <w:t>Health Services Act 1988 (Vic)</w:t>
      </w:r>
      <w:r w:rsidRPr="00C51605">
        <w:t>,</w:t>
      </w:r>
    </w:p>
    <w:p w14:paraId="566F2A00" w14:textId="77777777" w:rsidR="00C51605" w:rsidRPr="00C51605" w:rsidRDefault="00C51605" w:rsidP="005F1F38">
      <w:pPr>
        <w:pStyle w:val="Bullet1"/>
      </w:pPr>
      <w:r w:rsidRPr="00C51605">
        <w:t>That is relevant to the service the HRAR Extension provides,</w:t>
      </w:r>
    </w:p>
    <w:p w14:paraId="01AB2A28" w14:textId="77777777" w:rsidR="00C51605" w:rsidRPr="00C51605" w:rsidRDefault="00C51605" w:rsidP="005F1F38">
      <w:pPr>
        <w:pStyle w:val="Bullet1"/>
      </w:pPr>
      <w:r w:rsidRPr="00C51605">
        <w:t>In line with the Department’s Privacy Policy.</w:t>
      </w:r>
    </w:p>
    <w:p w14:paraId="1E7CE014" w14:textId="77777777" w:rsidR="00C51605" w:rsidRPr="005F1F38" w:rsidRDefault="00C51605" w:rsidP="005F1F38">
      <w:pPr>
        <w:pStyle w:val="Heading3"/>
      </w:pPr>
      <w:r w:rsidRPr="005F1F38">
        <w:t>Roles and responsibilities</w:t>
      </w:r>
    </w:p>
    <w:p w14:paraId="37AD24CD" w14:textId="77777777" w:rsidR="00C51605" w:rsidRPr="005F1F38" w:rsidRDefault="00C51605" w:rsidP="005F1F38">
      <w:pPr>
        <w:pStyle w:val="DHHSbody"/>
      </w:pPr>
      <w:r w:rsidRPr="005F1F38">
        <w:t xml:space="preserve">Lead Providers are expected to engage with residents in in HRAR in-scope settings (alongside owners/ proprietors) to help residents’ practice COVID-safe routines and prevent outbreaks. Although Lead Providers are experienced at client-facing work, working with residents of high-risk accommodation settings, some of whom may have multiple and complex needs or present with other vulnerabilities, may be a new context for some Lead Providers. The range of resident needs in in-scope settings reinforces the importance of this response in supporting Victorians who live in accommodation with increased COVID-19 transmission risks.  Lead Providers should apply their organisation’s existing privacy and data security policies and procedures in these settings when working with residents if they collect personal and health information. </w:t>
      </w:r>
    </w:p>
    <w:p w14:paraId="0869AC89" w14:textId="77777777" w:rsidR="00C51605" w:rsidRPr="005F1F38" w:rsidRDefault="00C51605" w:rsidP="005F1F38">
      <w:pPr>
        <w:pStyle w:val="DHHSbody"/>
      </w:pPr>
      <w:r w:rsidRPr="005F1F38">
        <w:t>Lead Providers should note that some residents in high-risk accommodation settings may present with multiple and complex needs and therefore may consider their personal and health information as sensitive. If Lead Providers are having significant difficulties engaging with residents and proprietors due to their privacy and data security concerns, this should be captured in relevant Department reports. Lead Providers need to consider the need for consent and privacy issues in the disability space (especially where person may have a guardian and/or using different methods of communication to express wishes).</w:t>
      </w:r>
    </w:p>
    <w:p w14:paraId="590CB200" w14:textId="77777777" w:rsidR="00C51605" w:rsidRPr="005F1F38" w:rsidRDefault="00C51605" w:rsidP="005F1F38">
      <w:pPr>
        <w:pStyle w:val="DHHSbody"/>
      </w:pPr>
      <w:r w:rsidRPr="005F1F38">
        <w:t>Providers should manage their data collection, storage, and record-keeping according to existing policies, systems and processes, relevant legislation, and the Department Privacy Policy.</w:t>
      </w:r>
    </w:p>
    <w:p w14:paraId="5715869C" w14:textId="77777777" w:rsidR="00C51605" w:rsidRPr="005F1F38" w:rsidRDefault="00C51605" w:rsidP="005F1F38">
      <w:pPr>
        <w:pStyle w:val="Heading3"/>
      </w:pPr>
      <w:r w:rsidRPr="005F1F38">
        <w:t>Tools and supports</w:t>
      </w:r>
    </w:p>
    <w:p w14:paraId="6FD9FBFD" w14:textId="77777777" w:rsidR="00C51605" w:rsidRPr="005F1F38" w:rsidRDefault="00C51605" w:rsidP="005F1F38">
      <w:pPr>
        <w:pStyle w:val="DHHSbody"/>
      </w:pPr>
      <w:r w:rsidRPr="005F1F38">
        <w:t>If Lead Providers have general questions about privacy and data security, they should refer to their organisation’s policies and procedures. Specific questions or concerns about privacy and data security in the context of HRAR Extension activities, are to be discussed with their relevant HRAR Division Director or staff, who may escalate as appropriate.</w:t>
      </w:r>
    </w:p>
    <w:p w14:paraId="18A519A4" w14:textId="77777777" w:rsidR="00C51605" w:rsidRPr="005F1F38" w:rsidRDefault="00C51605" w:rsidP="005F1F38">
      <w:pPr>
        <w:pStyle w:val="Heading2"/>
      </w:pPr>
      <w:bookmarkStart w:id="72" w:name="_Toc93219796"/>
      <w:bookmarkStart w:id="73" w:name="_Toc93905409"/>
      <w:r w:rsidRPr="005F1F38">
        <w:t>Incident Reporting</w:t>
      </w:r>
      <w:bookmarkEnd w:id="70"/>
      <w:bookmarkEnd w:id="72"/>
      <w:bookmarkEnd w:id="73"/>
    </w:p>
    <w:p w14:paraId="10D55E74" w14:textId="77777777" w:rsidR="00C51605" w:rsidRPr="00C51605" w:rsidRDefault="00C51605" w:rsidP="00ED2953">
      <w:pPr>
        <w:pStyle w:val="DHHSbody"/>
      </w:pPr>
      <w:r w:rsidRPr="00C51605">
        <w:t xml:space="preserve">Incident Reporting should be conducted when there is any near miss, actual minor or major incident to staff or clients, and when Health, Safety and Wellbeing (HSW) hazards have been identified. For the purpose of the HRAR model and this document, we have included the </w:t>
      </w:r>
      <w:r w:rsidRPr="00C51605" w:rsidDel="00817210">
        <w:t xml:space="preserve">client </w:t>
      </w:r>
      <w:r w:rsidRPr="00C51605">
        <w:t>incident reporting frameworks below and within Appendix 4.</w:t>
      </w:r>
    </w:p>
    <w:p w14:paraId="6495529E" w14:textId="77777777" w:rsidR="00C51605" w:rsidRPr="00C51605" w:rsidRDefault="00C51605" w:rsidP="00ED2953">
      <w:pPr>
        <w:pStyle w:val="DHHSbody"/>
      </w:pPr>
      <w:r w:rsidRPr="00C51605">
        <w:t xml:space="preserve">Staff incidents should continue to be reported as per the Lead Providers’ internal policies and procedures. </w:t>
      </w:r>
    </w:p>
    <w:p w14:paraId="4F8F665E" w14:textId="77777777" w:rsidR="00C51605" w:rsidRPr="00C51605" w:rsidRDefault="00C51605" w:rsidP="00ED2953">
      <w:pPr>
        <w:pStyle w:val="DHHSbody"/>
      </w:pPr>
      <w:r w:rsidRPr="00C51605">
        <w:t xml:space="preserve">Other important incidents for the lead agency to consider are the department’s privacy incidents and reportable conduct scheme policies, which can be provided on request. </w:t>
      </w:r>
    </w:p>
    <w:p w14:paraId="4B56FE5D" w14:textId="77777777" w:rsidR="00C51605" w:rsidRPr="00C51605" w:rsidRDefault="00C51605" w:rsidP="00ED2953">
      <w:pPr>
        <w:pStyle w:val="DHHSbody"/>
      </w:pPr>
      <w:r w:rsidRPr="00C51605">
        <w:t>There are two systems the lead agency may need to access to report client incidents and site hazards (see Appendix 4); however, it should be noted all staff-related incidents should continue to be reported as per the employer policy and procedures.</w:t>
      </w:r>
    </w:p>
    <w:p w14:paraId="636903EF" w14:textId="0F36060A" w:rsidR="00C51605" w:rsidRPr="00C51605" w:rsidRDefault="00C51605" w:rsidP="00ED2953">
      <w:pPr>
        <w:pStyle w:val="DHHSbody"/>
      </w:pPr>
      <w:r w:rsidRPr="00C51605">
        <w:t xml:space="preserve">The </w:t>
      </w:r>
      <w:hyperlink r:id="rId19" w:history="1">
        <w:r w:rsidRPr="00C51605">
          <w:rPr>
            <w:rStyle w:val="Hyperlink"/>
            <w:sz w:val="21"/>
            <w:szCs w:val="21"/>
          </w:rPr>
          <w:t>Client Incident Management System (CIMS)</w:t>
        </w:r>
      </w:hyperlink>
      <w:r w:rsidRPr="00C51605">
        <w:t xml:space="preserve"> </w:t>
      </w:r>
      <w:r w:rsidR="005F1F38">
        <w:t>&lt;</w:t>
      </w:r>
      <w:r w:rsidR="005F1F38" w:rsidRPr="005F1F38">
        <w:t>https://providers.dffh.vic.gov.au/client-incident-management-summary-guide-word</w:t>
      </w:r>
      <w:r w:rsidR="005F1F38">
        <w:rPr>
          <w:rStyle w:val="Hyperlink"/>
          <w:sz w:val="21"/>
          <w:szCs w:val="21"/>
        </w:rPr>
        <w:t xml:space="preserve">&gt; </w:t>
      </w:r>
      <w:r w:rsidRPr="00C51605">
        <w:rPr>
          <w:rFonts w:cs="Arial"/>
          <w:lang w:val="en"/>
        </w:rPr>
        <w:t xml:space="preserve">is a reporting system that focuses on the safety and wellbeing of our clients by outlining the approach and key actions service providers are required to undertake to manage client incidents. For a full description </w:t>
      </w:r>
      <w:r w:rsidRPr="00C51605">
        <w:rPr>
          <w:rFonts w:cs="Arial"/>
          <w:lang w:val="en"/>
        </w:rPr>
        <w:lastRenderedPageBreak/>
        <w:t xml:space="preserve">of CIMS and which agencies this reporting system is in scope for, please see </w:t>
      </w:r>
      <w:hyperlink r:id="rId20" w:history="1">
        <w:r w:rsidRPr="005F1F38">
          <w:rPr>
            <w:rStyle w:val="Hyperlink"/>
            <w:rFonts w:cs="Arial"/>
            <w:sz w:val="21"/>
            <w:szCs w:val="21"/>
            <w:lang w:val="en"/>
          </w:rPr>
          <w:t>here</w:t>
        </w:r>
      </w:hyperlink>
      <w:r w:rsidR="005F1F38" w:rsidRPr="005F1F38">
        <w:rPr>
          <w:rFonts w:cs="Arial"/>
          <w:sz w:val="21"/>
          <w:szCs w:val="21"/>
          <w:lang w:val="en"/>
        </w:rPr>
        <w:t xml:space="preserve"> &lt;https://providers.dhhs.vic.gov.au/sites/default/files/2020-01/Client incident management guide_0.docx&gt;</w:t>
      </w:r>
      <w:r w:rsidRPr="005F1F38">
        <w:rPr>
          <w:rFonts w:cs="Arial"/>
          <w:sz w:val="21"/>
          <w:szCs w:val="21"/>
          <w:lang w:val="en"/>
        </w:rPr>
        <w:t>.</w:t>
      </w:r>
    </w:p>
    <w:p w14:paraId="4EC8D2F9" w14:textId="3E113590" w:rsidR="00C51605" w:rsidRPr="00C51605" w:rsidRDefault="00C51605" w:rsidP="00ED2953">
      <w:pPr>
        <w:pStyle w:val="DHHSbody"/>
        <w:rPr>
          <w:b/>
          <w:bCs/>
        </w:rPr>
      </w:pPr>
      <w:r w:rsidRPr="00C51605">
        <w:rPr>
          <w:lang w:val="en"/>
        </w:rPr>
        <w:t xml:space="preserve">The </w:t>
      </w:r>
      <w:hyperlink r:id="rId21" w:history="1">
        <w:r w:rsidRPr="00C51605">
          <w:rPr>
            <w:rStyle w:val="Hyperlink"/>
            <w:rFonts w:cs="Arial"/>
            <w:sz w:val="21"/>
            <w:szCs w:val="21"/>
            <w:lang w:val="en"/>
          </w:rPr>
          <w:t>Victorian Health Incident Management System (VHIMS)</w:t>
        </w:r>
      </w:hyperlink>
      <w:r w:rsidRPr="00C51605">
        <w:rPr>
          <w:lang w:val="en"/>
        </w:rPr>
        <w:t xml:space="preserve"> </w:t>
      </w:r>
      <w:r w:rsidR="00483352" w:rsidRPr="00483352">
        <w:rPr>
          <w:rStyle w:val="BodyChar"/>
        </w:rPr>
        <w:t>&lt;</w:t>
      </w:r>
      <w:hyperlink r:id="rId22" w:history="1">
        <w:r w:rsidR="00483352" w:rsidRPr="00483352">
          <w:rPr>
            <w:rStyle w:val="BodyChar"/>
            <w:lang w:val="en"/>
          </w:rPr>
          <w:t>https://www.bettersafercare.vic.gov.au/our-work/incident-response/VHIMS</w:t>
        </w:r>
      </w:hyperlink>
      <w:r w:rsidR="00483352" w:rsidRPr="00483352">
        <w:rPr>
          <w:rStyle w:val="BodyChar"/>
        </w:rPr>
        <w:t>&gt;</w:t>
      </w:r>
      <w:r w:rsidR="005F1F38" w:rsidRPr="00483352">
        <w:rPr>
          <w:rStyle w:val="BodyChar"/>
        </w:rPr>
        <w:t xml:space="preserve"> </w:t>
      </w:r>
      <w:r w:rsidRPr="00C51605">
        <w:rPr>
          <w:lang w:val="en"/>
        </w:rPr>
        <w:t xml:space="preserve">is a </w:t>
      </w:r>
      <w:r w:rsidRPr="00C51605">
        <w:t>standardised</w:t>
      </w:r>
      <w:r w:rsidRPr="00C51605">
        <w:rPr>
          <w:lang w:val="en"/>
        </w:rPr>
        <w:t xml:space="preserve"> dataset for the collection and classification of clinical, occupational health and safety (OH&amp;S) incidents, near misses, hazards and consumer feedback. VHIMS is a system used to monitor the identification and mitigation of </w:t>
      </w:r>
      <w:hyperlink r:id="rId23" w:history="1">
        <w:r w:rsidRPr="00C51605">
          <w:rPr>
            <w:rStyle w:val="Hyperlink"/>
            <w:rFonts w:cs="Arial"/>
            <w:sz w:val="21"/>
            <w:szCs w:val="21"/>
            <w:lang w:val="en"/>
          </w:rPr>
          <w:t>clinical risk</w:t>
        </w:r>
      </w:hyperlink>
      <w:r w:rsidR="005F1F38">
        <w:rPr>
          <w:rStyle w:val="Hyperlink"/>
          <w:rFonts w:cs="Arial"/>
          <w:sz w:val="21"/>
          <w:szCs w:val="21"/>
          <w:lang w:val="en"/>
        </w:rPr>
        <w:t xml:space="preserve">  </w:t>
      </w:r>
      <w:r w:rsidR="005F1F38" w:rsidRPr="00483352">
        <w:t>&lt;</w:t>
      </w:r>
      <w:r w:rsidR="005F1F38" w:rsidRPr="00483352">
        <w:rPr>
          <w:lang w:val="en"/>
        </w:rPr>
        <w:t>https://www.health.vic.gov.au/quality-safety-service/clinical-risk-management</w:t>
      </w:r>
      <w:r w:rsidR="005F1F38" w:rsidRPr="00483352">
        <w:t>&gt;.</w:t>
      </w:r>
    </w:p>
    <w:p w14:paraId="09526A8F" w14:textId="77777777" w:rsidR="00C51605" w:rsidRPr="00483352" w:rsidRDefault="00C51605" w:rsidP="00483352">
      <w:pPr>
        <w:pStyle w:val="Heading2"/>
      </w:pPr>
      <w:bookmarkStart w:id="74" w:name="_Toc46835447"/>
      <w:bookmarkStart w:id="75" w:name="_Toc93219797"/>
      <w:bookmarkStart w:id="76" w:name="_Toc93905410"/>
      <w:bookmarkEnd w:id="71"/>
      <w:r w:rsidRPr="00483352">
        <w:t>Service agreement</w:t>
      </w:r>
      <w:bookmarkEnd w:id="74"/>
      <w:r w:rsidRPr="00483352">
        <w:t xml:space="preserve"> and Statement of Priorities arrangements</w:t>
      </w:r>
      <w:bookmarkEnd w:id="75"/>
      <w:bookmarkEnd w:id="76"/>
      <w:r w:rsidRPr="00483352">
        <w:t xml:space="preserve"> </w:t>
      </w:r>
    </w:p>
    <w:p w14:paraId="39CEAA18" w14:textId="77777777" w:rsidR="00C51605" w:rsidRPr="00483352" w:rsidRDefault="00C51605" w:rsidP="00483352">
      <w:pPr>
        <w:pStyle w:val="DHHSbody"/>
      </w:pPr>
      <w:r w:rsidRPr="00483352">
        <w:t xml:space="preserve">Providers are funded under a departmental service agreement or Statement of Priorities. </w:t>
      </w:r>
    </w:p>
    <w:p w14:paraId="486032C2" w14:textId="77777777" w:rsidR="00C51605" w:rsidRPr="00483352" w:rsidRDefault="00C51605" w:rsidP="00483352">
      <w:pPr>
        <w:pStyle w:val="DHHSbody"/>
      </w:pPr>
      <w:r w:rsidRPr="00483352">
        <w:t xml:space="preserve">The service agreement and Statement of Priorities funding arrangements include a range of requirements set out in the terms and conditions and schedules. </w:t>
      </w:r>
    </w:p>
    <w:p w14:paraId="2D8826BA" w14:textId="77777777" w:rsidR="00C51605" w:rsidRPr="00483352" w:rsidRDefault="00C51605" w:rsidP="00483352">
      <w:pPr>
        <w:pStyle w:val="DHHSbody"/>
      </w:pPr>
      <w:r w:rsidRPr="00483352">
        <w:t>DFFH monitors and reviews compliance with the requirements of the service agreement and funding arrangements.</w:t>
      </w:r>
    </w:p>
    <w:p w14:paraId="5B4276C6" w14:textId="77777777" w:rsidR="00C51605" w:rsidRPr="00483352" w:rsidRDefault="00C51605" w:rsidP="00483352">
      <w:pPr>
        <w:pStyle w:val="DHHSbody"/>
      </w:pPr>
      <w:r w:rsidRPr="00483352">
        <w:t>Monitoring of compliance is driven by the performance monitoring framework. As a critical part of DFFH's quality assurance approach, the monitoring framework also supports responses to identified performance issues.</w:t>
      </w:r>
    </w:p>
    <w:p w14:paraId="1FD37587" w14:textId="77777777" w:rsidR="00C51605" w:rsidRPr="00483352" w:rsidRDefault="00C51605" w:rsidP="00483352">
      <w:pPr>
        <w:pStyle w:val="DHHSbody"/>
      </w:pPr>
      <w:r w:rsidRPr="00483352">
        <w:t>Providers delivering services are accountable for using departmental funding appropriately and for delivering services in line with the service agreement. To support accountability, funded organisations must regularly report on their services through existing mechanisms.</w:t>
      </w:r>
    </w:p>
    <w:p w14:paraId="0E508F97" w14:textId="77777777" w:rsidR="00C51605" w:rsidRPr="00483352" w:rsidRDefault="00C51605" w:rsidP="00483352">
      <w:pPr>
        <w:pStyle w:val="DHHSbody"/>
      </w:pPr>
      <w:r w:rsidRPr="00483352">
        <w:t xml:space="preserve">A collective approach to accountability will be implemented in each catchment. Data on performance will be shared within the governance model to support practice governance and continuous improvement. </w:t>
      </w:r>
    </w:p>
    <w:p w14:paraId="4C16BB17" w14:textId="3F0598F5" w:rsidR="00C51605" w:rsidRPr="00483352" w:rsidRDefault="00C51605" w:rsidP="00483352">
      <w:pPr>
        <w:pStyle w:val="DHHSbody"/>
      </w:pPr>
      <w:r w:rsidRPr="00483352">
        <w:t xml:space="preserve">Reporting allows organisations and DFFH to undertake periodic reviews of progress and to adjust targets as required. It also allows for local and state-wide monitoring by DFFH. </w:t>
      </w:r>
    </w:p>
    <w:p w14:paraId="1F143E7E" w14:textId="77777777" w:rsidR="00C51605" w:rsidRPr="00483352" w:rsidRDefault="00C51605" w:rsidP="00483352">
      <w:pPr>
        <w:pStyle w:val="Heading2"/>
      </w:pPr>
      <w:bookmarkStart w:id="77" w:name="_Toc93219798"/>
      <w:bookmarkStart w:id="78" w:name="_Toc93905411"/>
      <w:r w:rsidRPr="00483352">
        <w:t>Accreditation</w:t>
      </w:r>
      <w:bookmarkEnd w:id="77"/>
      <w:bookmarkEnd w:id="78"/>
    </w:p>
    <w:p w14:paraId="66AE3925" w14:textId="77777777" w:rsidR="00C51605" w:rsidRPr="00483352" w:rsidRDefault="00C51605" w:rsidP="00483352">
      <w:pPr>
        <w:pStyle w:val="DHHSbody"/>
      </w:pPr>
      <w:r w:rsidRPr="00483352">
        <w:t>Accreditation and independent review processes support strong organisational management, administration and service delivery and a continuous improvement philosophy. Providers will be assessed against the Human Services Standards.</w:t>
      </w:r>
    </w:p>
    <w:p w14:paraId="44D32452" w14:textId="6277919A" w:rsidR="00C51605" w:rsidRPr="00483352" w:rsidRDefault="000B7BDC" w:rsidP="00483352">
      <w:pPr>
        <w:pStyle w:val="DHHSbody"/>
        <w:rPr>
          <w:rStyle w:val="Hyperlink"/>
          <w:b/>
          <w:bCs/>
        </w:rPr>
      </w:pPr>
      <w:hyperlink r:id="rId24" w:history="1">
        <w:r w:rsidR="00C51605" w:rsidRPr="00483352">
          <w:rPr>
            <w:rStyle w:val="Hyperlink"/>
            <w:b/>
            <w:bCs/>
          </w:rPr>
          <w:t>Human Services Standards Policy</w:t>
        </w:r>
      </w:hyperlink>
    </w:p>
    <w:p w14:paraId="768EC4C0" w14:textId="5D81ED37" w:rsidR="00C51605" w:rsidRPr="00483352" w:rsidRDefault="00483352" w:rsidP="00483352">
      <w:pPr>
        <w:pStyle w:val="DHHSbody"/>
      </w:pPr>
      <w:r w:rsidRPr="00483352">
        <w:t>&lt;</w:t>
      </w:r>
      <w:hyperlink r:id="rId25" w:history="1">
        <w:r w:rsidRPr="00483352">
          <w:rPr>
            <w:rStyle w:val="Hyperlink"/>
            <w:color w:val="auto"/>
            <w:u w:val="none"/>
          </w:rPr>
          <w:t>https://providers.dhhs.vic.gov.au/sites/default/files/2020-07/Human-Services-Standards-Policy-202007.doc</w:t>
        </w:r>
      </w:hyperlink>
      <w:r w:rsidRPr="00483352">
        <w:rPr>
          <w:rStyle w:val="eop"/>
        </w:rPr>
        <w:t>&gt;</w:t>
      </w:r>
    </w:p>
    <w:p w14:paraId="5E1EFA40" w14:textId="13DD1F75" w:rsidR="00C51605" w:rsidRPr="00483352" w:rsidRDefault="000B7BDC" w:rsidP="00483352">
      <w:pPr>
        <w:pStyle w:val="DHHSbody"/>
        <w:rPr>
          <w:b/>
          <w:bCs/>
        </w:rPr>
      </w:pPr>
      <w:hyperlink r:id="rId26" w:history="1">
        <w:r w:rsidR="00C51605" w:rsidRPr="00483352">
          <w:rPr>
            <w:rStyle w:val="Hyperlink"/>
            <w:b/>
            <w:bCs/>
          </w:rPr>
          <w:t>Policy, procedures and forms for the registration of disability service providers and community services</w:t>
        </w:r>
      </w:hyperlink>
    </w:p>
    <w:p w14:paraId="657356DE" w14:textId="77777777" w:rsidR="00C51605" w:rsidRPr="00483352" w:rsidRDefault="000B7BDC" w:rsidP="00483352">
      <w:pPr>
        <w:pStyle w:val="DHHSbody"/>
        <w:rPr>
          <w:rStyle w:val="eop"/>
        </w:rPr>
      </w:pPr>
      <w:hyperlink r:id="rId27" w:tgtFrame="_blank" w:history="1">
        <w:r w:rsidR="00C51605" w:rsidRPr="00483352">
          <w:rPr>
            <w:rStyle w:val="normaltextrun"/>
          </w:rPr>
          <w:t>https://providers.dhhs.vic.gov.au/sites/default/files/2020-07/Policy-procedures-forms-for-registration%20072020.docx</w:t>
        </w:r>
      </w:hyperlink>
      <w:r w:rsidR="00C51605" w:rsidRPr="00483352">
        <w:rPr>
          <w:rStyle w:val="eop"/>
        </w:rPr>
        <w:t> </w:t>
      </w:r>
    </w:p>
    <w:p w14:paraId="4FA26811" w14:textId="0C491EDE" w:rsidR="00C51605" w:rsidRPr="00483352" w:rsidRDefault="000B7BDC" w:rsidP="00483352">
      <w:pPr>
        <w:pStyle w:val="DHHSbody"/>
        <w:rPr>
          <w:b/>
          <w:bCs/>
        </w:rPr>
      </w:pPr>
      <w:hyperlink r:id="rId28" w:history="1">
        <w:r w:rsidR="00C51605" w:rsidRPr="00483352">
          <w:rPr>
            <w:rStyle w:val="Hyperlink"/>
            <w:b/>
            <w:bCs/>
          </w:rPr>
          <w:t>Coronavirus Case and Contact Management Guidelines: Health Services and General Practitioners</w:t>
        </w:r>
      </w:hyperlink>
    </w:p>
    <w:p w14:paraId="247F3895" w14:textId="618B266E" w:rsidR="00C51605" w:rsidRPr="00483352" w:rsidRDefault="00483352" w:rsidP="00483352">
      <w:pPr>
        <w:pStyle w:val="DHHSbody"/>
        <w:rPr>
          <w:rStyle w:val="eop"/>
        </w:rPr>
      </w:pPr>
      <w:r w:rsidRPr="00483352">
        <w:t>&lt;</w:t>
      </w:r>
      <w:hyperlink r:id="rId29" w:history="1">
        <w:r w:rsidRPr="00483352">
          <w:rPr>
            <w:rStyle w:val="normaltextrun"/>
          </w:rPr>
          <w:t>https://www.dhhs.vic.gov.au/coronavirus-case-and-contact-management-guidelines-health-services-and-general-practitioners</w:t>
        </w:r>
      </w:hyperlink>
      <w:r w:rsidRPr="00483352">
        <w:rPr>
          <w:rStyle w:val="normaltextrun"/>
        </w:rPr>
        <w:t>&gt;</w:t>
      </w:r>
    </w:p>
    <w:p w14:paraId="086CF49A" w14:textId="51A7CDF4" w:rsidR="00C51605" w:rsidRPr="00483352" w:rsidRDefault="000B7BDC" w:rsidP="00483352">
      <w:pPr>
        <w:pStyle w:val="DHHSbody"/>
        <w:rPr>
          <w:b/>
          <w:bCs/>
        </w:rPr>
      </w:pPr>
      <w:hyperlink r:id="rId30" w:history="1">
        <w:r w:rsidR="00C51605" w:rsidRPr="00483352">
          <w:rPr>
            <w:rStyle w:val="Hyperlink"/>
            <w:b/>
            <w:bCs/>
          </w:rPr>
          <w:t>Apartments and Multi-Dwelling properties Guidelines: COVID-19</w:t>
        </w:r>
      </w:hyperlink>
    </w:p>
    <w:p w14:paraId="56F06E44" w14:textId="1BBB1B56" w:rsidR="00C51605" w:rsidRPr="00483352" w:rsidRDefault="00483352" w:rsidP="00483352">
      <w:pPr>
        <w:pStyle w:val="DHHSbody"/>
        <w:rPr>
          <w:rStyle w:val="eop"/>
        </w:rPr>
      </w:pPr>
      <w:r w:rsidRPr="00483352">
        <w:t>&lt;</w:t>
      </w:r>
      <w:hyperlink r:id="rId31" w:history="1">
        <w:r w:rsidRPr="00483352">
          <w:rPr>
            <w:rStyle w:val="normaltextrun"/>
          </w:rPr>
          <w:t>https://www.dhhs.vic.gov.au/multi-dwelling-properties-shared-facilities</w:t>
        </w:r>
      </w:hyperlink>
      <w:r w:rsidRPr="00483352">
        <w:rPr>
          <w:rStyle w:val="normaltextrun"/>
        </w:rPr>
        <w:t>&gt;</w:t>
      </w:r>
    </w:p>
    <w:p w14:paraId="37EF5884" w14:textId="7CAF64C4" w:rsidR="00C51605" w:rsidRPr="00483352" w:rsidRDefault="000B7BDC" w:rsidP="00483352">
      <w:pPr>
        <w:pStyle w:val="DHHSbody"/>
        <w:rPr>
          <w:b/>
          <w:bCs/>
        </w:rPr>
      </w:pPr>
      <w:hyperlink r:id="rId32" w:history="1">
        <w:r w:rsidR="00C51605" w:rsidRPr="00483352">
          <w:rPr>
            <w:rStyle w:val="Hyperlink"/>
            <w:b/>
            <w:bCs/>
          </w:rPr>
          <w:t>Coronavirus (COVID-19) information for Aboriginal and Torres Strait Islander communities</w:t>
        </w:r>
      </w:hyperlink>
    </w:p>
    <w:p w14:paraId="74239C69" w14:textId="2EED677F" w:rsidR="00C51605" w:rsidRPr="00483352" w:rsidRDefault="00483352" w:rsidP="00483352">
      <w:pPr>
        <w:pStyle w:val="DHHSbody"/>
      </w:pPr>
      <w:r w:rsidRPr="00483352">
        <w:rPr>
          <w:rStyle w:val="normaltextrun"/>
        </w:rPr>
        <w:t>&lt;</w:t>
      </w:r>
      <w:hyperlink r:id="rId33" w:history="1">
        <w:r w:rsidRPr="00483352">
          <w:rPr>
            <w:rStyle w:val="normaltextrun"/>
          </w:rPr>
          <w:t>https://www.dhhs.vic.gov.au/coronavirus-information-aboriginal-and-torres-strait-islander-communities</w:t>
        </w:r>
      </w:hyperlink>
      <w:r w:rsidRPr="00483352">
        <w:rPr>
          <w:rStyle w:val="normaltextrun"/>
        </w:rPr>
        <w:t>&gt;</w:t>
      </w:r>
    </w:p>
    <w:p w14:paraId="2353D5E6" w14:textId="77777777" w:rsidR="00483352" w:rsidRDefault="00483352">
      <w:pPr>
        <w:spacing w:after="0" w:line="240" w:lineRule="auto"/>
        <w:rPr>
          <w:rFonts w:eastAsia="MS Gothic"/>
          <w:bCs/>
          <w:color w:val="201547"/>
          <w:sz w:val="30"/>
          <w:szCs w:val="26"/>
        </w:rPr>
      </w:pPr>
      <w:r>
        <w:br w:type="page"/>
      </w:r>
    </w:p>
    <w:p w14:paraId="15346DE5" w14:textId="64A8305A" w:rsidR="00C51605" w:rsidRPr="00483352" w:rsidRDefault="00C51605" w:rsidP="00483352">
      <w:pPr>
        <w:pStyle w:val="Heading3"/>
      </w:pPr>
      <w:r w:rsidRPr="00483352">
        <w:lastRenderedPageBreak/>
        <w:t>Human Services Standards</w:t>
      </w:r>
    </w:p>
    <w:p w14:paraId="1768A683" w14:textId="5290A69D" w:rsidR="00C51605" w:rsidRPr="00C51605" w:rsidRDefault="00C51605" w:rsidP="00ED2953">
      <w:pPr>
        <w:pStyle w:val="DHHSbody"/>
      </w:pPr>
      <w:r w:rsidRPr="00C51605">
        <w:t xml:space="preserve">The </w:t>
      </w:r>
      <w:hyperlink r:id="rId34" w:history="1">
        <w:r w:rsidRPr="00C51605">
          <w:rPr>
            <w:rStyle w:val="Hyperlink"/>
            <w:sz w:val="21"/>
            <w:szCs w:val="21"/>
          </w:rPr>
          <w:t>Human Services Standards</w:t>
        </w:r>
      </w:hyperlink>
      <w:r w:rsidRPr="00C51605">
        <w:t xml:space="preserve"> </w:t>
      </w:r>
      <w:r w:rsidR="00483352" w:rsidRPr="00483352">
        <w:t>&lt;</w:t>
      </w:r>
      <w:hyperlink r:id="rId35" w:history="1">
        <w:r w:rsidR="00483352" w:rsidRPr="00483352">
          <w:t>https://providers.dffh.vic.gov.au/human-services-standards</w:t>
        </w:r>
      </w:hyperlink>
      <w:r w:rsidR="00483352" w:rsidRPr="00483352">
        <w:t>&gt;</w:t>
      </w:r>
      <w:r w:rsidR="00483352">
        <w:t xml:space="preserve"> </w:t>
      </w:r>
      <w:r w:rsidRPr="00C51605">
        <w:t>represent a single set of service quality standards for DFFH-funded service providers and DFFH-managed services, summarised as:</w:t>
      </w:r>
    </w:p>
    <w:p w14:paraId="24C8AB89" w14:textId="77777777" w:rsidR="00C51605" w:rsidRPr="00C51605" w:rsidRDefault="00C51605" w:rsidP="00483352">
      <w:pPr>
        <w:pStyle w:val="Bullet1"/>
      </w:pPr>
      <w:r w:rsidRPr="00C51605">
        <w:t>Empowerment: People’s rights are promoted and upheld</w:t>
      </w:r>
    </w:p>
    <w:p w14:paraId="4169663C" w14:textId="77777777" w:rsidR="00C51605" w:rsidRPr="00C51605" w:rsidRDefault="00C51605" w:rsidP="00483352">
      <w:pPr>
        <w:pStyle w:val="Bullet1"/>
      </w:pPr>
      <w:r w:rsidRPr="00C51605">
        <w:t>Access and Engagement: People’s right to access transparent, equitable and integrated services is promoted and upheld</w:t>
      </w:r>
    </w:p>
    <w:p w14:paraId="0383DFDF" w14:textId="77777777" w:rsidR="00C51605" w:rsidRPr="00C51605" w:rsidRDefault="00C51605" w:rsidP="00483352">
      <w:pPr>
        <w:pStyle w:val="Bullet1"/>
      </w:pPr>
      <w:r w:rsidRPr="00C51605">
        <w:t>Wellbeing: People’s right to wellbeing and safety is promoted and upheld</w:t>
      </w:r>
    </w:p>
    <w:p w14:paraId="753019D8" w14:textId="77777777" w:rsidR="00C51605" w:rsidRPr="00C51605" w:rsidRDefault="00C51605" w:rsidP="00483352">
      <w:pPr>
        <w:pStyle w:val="Bullet1"/>
      </w:pPr>
      <w:r w:rsidRPr="00C51605">
        <w:t xml:space="preserve">Participation: People’s right to choose, decision making and to actively participate as a valued member of their chosen community is promoted and upheld. </w:t>
      </w:r>
    </w:p>
    <w:p w14:paraId="515C5746" w14:textId="77777777" w:rsidR="00C51605" w:rsidRPr="00C51605" w:rsidRDefault="00C51605" w:rsidP="00483352">
      <w:pPr>
        <w:pStyle w:val="DHHSbodyafterbullets"/>
      </w:pPr>
      <w:r w:rsidRPr="00C51605">
        <w:t>The Human Services Regulator is responsible for administering legislation (</w:t>
      </w:r>
      <w:r w:rsidRPr="00C51605">
        <w:rPr>
          <w:i/>
        </w:rPr>
        <w:t>Children Youth and Families Act 2005</w:t>
      </w:r>
      <w:r w:rsidRPr="00C51605">
        <w:t xml:space="preserve"> and </w:t>
      </w:r>
      <w:r w:rsidRPr="00C51605">
        <w:rPr>
          <w:i/>
        </w:rPr>
        <w:t>Disability Act 2006</w:t>
      </w:r>
      <w:r w:rsidRPr="00C51605">
        <w:t>) that aims to protect the Victorian community and those accessing human services. Under these Acts, registered entities are required to meet the Human Services Standards.</w:t>
      </w:r>
    </w:p>
    <w:p w14:paraId="5E8CF02B" w14:textId="6048F0F8" w:rsidR="00C51605" w:rsidRPr="00483352" w:rsidRDefault="00C51605" w:rsidP="00483352">
      <w:pPr>
        <w:pStyle w:val="DHHSbody"/>
      </w:pPr>
      <w:r w:rsidRPr="00483352">
        <w:t xml:space="preserve">For more information, see </w:t>
      </w:r>
      <w:hyperlink r:id="rId36" w:history="1">
        <w:r w:rsidR="00756027" w:rsidRPr="00E32C93">
          <w:rPr>
            <w:rStyle w:val="Hyperlink"/>
          </w:rPr>
          <w:t xml:space="preserve">Human Services Standards Policy – updated July 2020 </w:t>
        </w:r>
        <w:r w:rsidR="00756027" w:rsidRPr="00756027">
          <w:t>&lt;https://providers.dhhs.vic.gov.au/sites/default/files/2020-07/Human-Services-Standards-Policy-202007.doc&gt;.</w:t>
        </w:r>
      </w:hyperlink>
    </w:p>
    <w:p w14:paraId="5FE6965C" w14:textId="77777777" w:rsidR="00C51605" w:rsidRPr="00756027" w:rsidRDefault="00C51605" w:rsidP="00756027">
      <w:pPr>
        <w:pStyle w:val="Heading2"/>
      </w:pPr>
      <w:bookmarkStart w:id="79" w:name="_Toc93219799"/>
      <w:bookmarkStart w:id="80" w:name="_Toc93905412"/>
      <w:r w:rsidRPr="00756027">
        <w:t>Applicable guidance</w:t>
      </w:r>
      <w:bookmarkEnd w:id="79"/>
      <w:bookmarkEnd w:id="80"/>
    </w:p>
    <w:p w14:paraId="2C23211D" w14:textId="77777777" w:rsidR="00C51605" w:rsidRPr="00756027" w:rsidRDefault="00C51605" w:rsidP="00756027">
      <w:pPr>
        <w:pStyle w:val="DHHSbody"/>
      </w:pPr>
      <w:r w:rsidRPr="00756027">
        <w:t xml:space="preserve">Providers are required to understand and comply with a range of Victorian Government policies, frameworks and procedures as well as legislative requirements as part of their service agreements. In addition, providers are required to understand the operating model of the HRAR and their roles and responsibilities under the HRAR. </w:t>
      </w:r>
    </w:p>
    <w:p w14:paraId="5ABA1945" w14:textId="77777777" w:rsidR="00C51605" w:rsidRPr="00756027" w:rsidRDefault="00C51605" w:rsidP="00756027">
      <w:pPr>
        <w:pStyle w:val="Heading3"/>
      </w:pPr>
      <w:bookmarkStart w:id="81" w:name="_Ref47194662"/>
      <w:r w:rsidRPr="00756027">
        <w:t>DH COVID-19 resources</w:t>
      </w:r>
      <w:bookmarkEnd w:id="81"/>
    </w:p>
    <w:p w14:paraId="30684DB3" w14:textId="5565C32D" w:rsidR="00C51605" w:rsidRPr="00C51605" w:rsidRDefault="00C51605" w:rsidP="00ED2953">
      <w:pPr>
        <w:pStyle w:val="DHHSbody"/>
      </w:pPr>
      <w:r w:rsidRPr="00C51605">
        <w:t xml:space="preserve">The </w:t>
      </w:r>
      <w:hyperlink r:id="rId37" w:history="1">
        <w:r w:rsidRPr="00C51605">
          <w:rPr>
            <w:rStyle w:val="Hyperlink"/>
            <w:sz w:val="21"/>
            <w:szCs w:val="21"/>
          </w:rPr>
          <w:t>DH Coronavirus website</w:t>
        </w:r>
      </w:hyperlink>
      <w:r w:rsidRPr="00C51605">
        <w:t xml:space="preserve"> </w:t>
      </w:r>
      <w:r w:rsidR="00756027" w:rsidRPr="00756027">
        <w:t>&lt;</w:t>
      </w:r>
      <w:hyperlink r:id="rId38" w:history="1">
        <w:r w:rsidR="00756027" w:rsidRPr="00756027">
          <w:t>https://www.dhhs.vic.gov.au/coronavirus</w:t>
        </w:r>
      </w:hyperlink>
      <w:r w:rsidR="00756027" w:rsidRPr="00756027">
        <w:t>&gt;</w:t>
      </w:r>
      <w:r w:rsidR="00756027">
        <w:t xml:space="preserve"> </w:t>
      </w:r>
      <w:r w:rsidRPr="00C51605">
        <w:t xml:space="preserve">is the central repository of information and resources created by DH on COVID-19, for both individuals and organisations. All providers are to refer to this website for the latest information and resources for their sector. </w:t>
      </w:r>
    </w:p>
    <w:p w14:paraId="2C00F5E9" w14:textId="77777777" w:rsidR="00C51605" w:rsidRPr="00756027" w:rsidRDefault="00C51605" w:rsidP="00756027">
      <w:pPr>
        <w:pStyle w:val="DHHSbody"/>
      </w:pPr>
      <w:bookmarkStart w:id="82" w:name="_Toc93219800"/>
      <w:r w:rsidRPr="00756027">
        <w:br w:type="page"/>
      </w:r>
    </w:p>
    <w:p w14:paraId="2F40E51D" w14:textId="58413460" w:rsidR="00C51605" w:rsidRDefault="00C51605" w:rsidP="00756027">
      <w:pPr>
        <w:pStyle w:val="Heading1"/>
      </w:pPr>
      <w:bookmarkStart w:id="83" w:name="_Toc93905413"/>
      <w:r w:rsidRPr="00756027">
        <w:lastRenderedPageBreak/>
        <w:t>Appendices</w:t>
      </w:r>
      <w:bookmarkEnd w:id="82"/>
      <w:bookmarkEnd w:id="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946"/>
      </w:tblGrid>
      <w:tr w:rsidR="00C51605" w14:paraId="67A22559" w14:textId="77777777" w:rsidTr="00C51605">
        <w:tc>
          <w:tcPr>
            <w:tcW w:w="1413" w:type="dxa"/>
          </w:tcPr>
          <w:p w14:paraId="67A2501E" w14:textId="77777777" w:rsidR="00C51605" w:rsidRPr="00756027" w:rsidRDefault="00C51605" w:rsidP="00756027">
            <w:pPr>
              <w:pStyle w:val="DHHStabletext"/>
            </w:pPr>
            <w:r w:rsidRPr="00756027">
              <w:t>Appendix 1</w:t>
            </w:r>
          </w:p>
        </w:tc>
        <w:tc>
          <w:tcPr>
            <w:tcW w:w="6946" w:type="dxa"/>
          </w:tcPr>
          <w:p w14:paraId="58E86CC8" w14:textId="77777777" w:rsidR="00C51605" w:rsidRPr="00756027" w:rsidRDefault="00C51605" w:rsidP="00756027">
            <w:pPr>
              <w:pStyle w:val="DHHStabletext"/>
            </w:pPr>
            <w:r w:rsidRPr="00756027">
              <w:t>Sample formats for Catchment Leadership Group Terms of Reference, Agendas and Minutes</w:t>
            </w:r>
          </w:p>
        </w:tc>
      </w:tr>
      <w:tr w:rsidR="00C51605" w14:paraId="4C4349ED" w14:textId="77777777" w:rsidTr="00C51605">
        <w:tc>
          <w:tcPr>
            <w:tcW w:w="1413" w:type="dxa"/>
          </w:tcPr>
          <w:p w14:paraId="527FA85D" w14:textId="77777777" w:rsidR="00C51605" w:rsidRPr="00756027" w:rsidRDefault="00C51605" w:rsidP="00756027">
            <w:pPr>
              <w:pStyle w:val="DHHStabletext"/>
            </w:pPr>
            <w:r w:rsidRPr="00756027">
              <w:t>Appendix 2</w:t>
            </w:r>
          </w:p>
        </w:tc>
        <w:tc>
          <w:tcPr>
            <w:tcW w:w="6946" w:type="dxa"/>
          </w:tcPr>
          <w:p w14:paraId="066ADA3F" w14:textId="77777777" w:rsidR="00C51605" w:rsidRPr="00756027" w:rsidRDefault="00C51605" w:rsidP="00756027">
            <w:pPr>
              <w:pStyle w:val="DHHStabletext"/>
            </w:pPr>
            <w:r w:rsidRPr="00756027">
              <w:t>Tier based operating model</w:t>
            </w:r>
          </w:p>
        </w:tc>
      </w:tr>
      <w:tr w:rsidR="00C51605" w14:paraId="562191C2" w14:textId="77777777" w:rsidTr="00C51605">
        <w:tc>
          <w:tcPr>
            <w:tcW w:w="1413" w:type="dxa"/>
          </w:tcPr>
          <w:p w14:paraId="4C77D4ED" w14:textId="77777777" w:rsidR="00C51605" w:rsidRPr="00756027" w:rsidRDefault="00C51605" w:rsidP="00756027">
            <w:pPr>
              <w:pStyle w:val="DHHStabletext"/>
            </w:pPr>
            <w:r w:rsidRPr="00756027">
              <w:t>Appendix 3</w:t>
            </w:r>
          </w:p>
        </w:tc>
        <w:tc>
          <w:tcPr>
            <w:tcW w:w="6946" w:type="dxa"/>
          </w:tcPr>
          <w:p w14:paraId="2C305B0B" w14:textId="77777777" w:rsidR="00C51605" w:rsidRPr="00756027" w:rsidRDefault="00C51605" w:rsidP="00756027">
            <w:pPr>
              <w:pStyle w:val="DHHStabletext"/>
            </w:pPr>
            <w:r w:rsidRPr="00756027">
              <w:t>Contract specifications</w:t>
            </w:r>
          </w:p>
        </w:tc>
      </w:tr>
      <w:tr w:rsidR="00C51605" w14:paraId="7F6E6DAF" w14:textId="77777777" w:rsidTr="00C51605">
        <w:tc>
          <w:tcPr>
            <w:tcW w:w="1413" w:type="dxa"/>
          </w:tcPr>
          <w:p w14:paraId="60E1945E" w14:textId="77777777" w:rsidR="00C51605" w:rsidRPr="00756027" w:rsidRDefault="00C51605" w:rsidP="00756027">
            <w:pPr>
              <w:pStyle w:val="DHHStabletext"/>
            </w:pPr>
            <w:r w:rsidRPr="00756027">
              <w:t>Appendix 4</w:t>
            </w:r>
          </w:p>
        </w:tc>
        <w:tc>
          <w:tcPr>
            <w:tcW w:w="6946" w:type="dxa"/>
          </w:tcPr>
          <w:p w14:paraId="4905D2A2" w14:textId="77777777" w:rsidR="00C51605" w:rsidRPr="00756027" w:rsidRDefault="00C51605" w:rsidP="00756027">
            <w:pPr>
              <w:pStyle w:val="DHHStabletext"/>
            </w:pPr>
            <w:r w:rsidRPr="00756027">
              <w:t>Incident reporting systems</w:t>
            </w:r>
          </w:p>
        </w:tc>
      </w:tr>
      <w:tr w:rsidR="00C51605" w14:paraId="5684E0E8" w14:textId="77777777" w:rsidTr="00C51605">
        <w:tc>
          <w:tcPr>
            <w:tcW w:w="1413" w:type="dxa"/>
          </w:tcPr>
          <w:p w14:paraId="4A72D4CD" w14:textId="77777777" w:rsidR="00C51605" w:rsidRPr="00756027" w:rsidRDefault="00C51605" w:rsidP="00756027">
            <w:pPr>
              <w:pStyle w:val="DHHStabletext"/>
            </w:pPr>
            <w:r w:rsidRPr="00756027">
              <w:t>Appendix 5</w:t>
            </w:r>
          </w:p>
        </w:tc>
        <w:tc>
          <w:tcPr>
            <w:tcW w:w="6946" w:type="dxa"/>
          </w:tcPr>
          <w:p w14:paraId="325A8AA0" w14:textId="77777777" w:rsidR="00C51605" w:rsidRPr="00756027" w:rsidRDefault="00C51605" w:rsidP="00756027">
            <w:pPr>
              <w:pStyle w:val="DHHStabletext"/>
            </w:pPr>
            <w:r w:rsidRPr="00756027">
              <w:t>Data Reporting Templates and Metrics</w:t>
            </w:r>
          </w:p>
        </w:tc>
      </w:tr>
      <w:tr w:rsidR="00C51605" w14:paraId="16BFF873" w14:textId="77777777" w:rsidTr="00C51605">
        <w:tc>
          <w:tcPr>
            <w:tcW w:w="1413" w:type="dxa"/>
          </w:tcPr>
          <w:p w14:paraId="42B51ABE" w14:textId="77777777" w:rsidR="00C51605" w:rsidRPr="00756027" w:rsidRDefault="00C51605" w:rsidP="00756027">
            <w:pPr>
              <w:pStyle w:val="DHHStabletext"/>
            </w:pPr>
            <w:r w:rsidRPr="00756027">
              <w:t>Appendix 6</w:t>
            </w:r>
          </w:p>
        </w:tc>
        <w:tc>
          <w:tcPr>
            <w:tcW w:w="6946" w:type="dxa"/>
          </w:tcPr>
          <w:p w14:paraId="38CFCB88" w14:textId="77777777" w:rsidR="00C51605" w:rsidRPr="00756027" w:rsidRDefault="00C51605" w:rsidP="00756027">
            <w:pPr>
              <w:pStyle w:val="DHHStabletext"/>
            </w:pPr>
            <w:r w:rsidRPr="00756027">
              <w:t>Mapping Catchments, Department Areas and Divisions, LPHUs, DLOs</w:t>
            </w:r>
          </w:p>
        </w:tc>
      </w:tr>
      <w:tr w:rsidR="00C51605" w14:paraId="2A33D1F7" w14:textId="77777777" w:rsidTr="00C51605">
        <w:tc>
          <w:tcPr>
            <w:tcW w:w="1413" w:type="dxa"/>
          </w:tcPr>
          <w:p w14:paraId="5DAB17A9" w14:textId="77777777" w:rsidR="00C51605" w:rsidRPr="00756027" w:rsidRDefault="00C51605" w:rsidP="00756027">
            <w:pPr>
              <w:pStyle w:val="DHHStabletext"/>
            </w:pPr>
            <w:r w:rsidRPr="00756027">
              <w:t>Appendix 7</w:t>
            </w:r>
          </w:p>
        </w:tc>
        <w:tc>
          <w:tcPr>
            <w:tcW w:w="6946" w:type="dxa"/>
          </w:tcPr>
          <w:p w14:paraId="07B79DF7" w14:textId="77777777" w:rsidR="00C51605" w:rsidRPr="00756027" w:rsidRDefault="00C51605" w:rsidP="00756027">
            <w:pPr>
              <w:pStyle w:val="DHHStabletext"/>
            </w:pPr>
            <w:r w:rsidRPr="00756027">
              <w:t>Glossary</w:t>
            </w:r>
          </w:p>
        </w:tc>
      </w:tr>
    </w:tbl>
    <w:p w14:paraId="3BED377B" w14:textId="66CAA7FF" w:rsidR="00C51605" w:rsidRDefault="00C51605" w:rsidP="00ED2953">
      <w:pPr>
        <w:pStyle w:val="DHHSbody"/>
      </w:pPr>
    </w:p>
    <w:p w14:paraId="079BCA64" w14:textId="77777777" w:rsidR="00C51605" w:rsidRDefault="00C51605">
      <w:pPr>
        <w:spacing w:after="0" w:line="240" w:lineRule="auto"/>
        <w:rPr>
          <w:rFonts w:eastAsia="Times"/>
          <w:sz w:val="20"/>
        </w:rPr>
      </w:pPr>
      <w:r>
        <w:br w:type="page"/>
      </w:r>
    </w:p>
    <w:p w14:paraId="7EB00F41" w14:textId="77777777" w:rsidR="00C51605" w:rsidRPr="00756027" w:rsidRDefault="00C51605" w:rsidP="00756027">
      <w:pPr>
        <w:pStyle w:val="Heading2"/>
      </w:pPr>
      <w:bookmarkStart w:id="84" w:name="_Toc93219801"/>
      <w:bookmarkStart w:id="85" w:name="_Toc93905414"/>
      <w:r w:rsidRPr="00756027">
        <w:lastRenderedPageBreak/>
        <w:t>Appendix 1: Sample Terms of Reference, Agenda Template and Minutes Format for a Catchment Leadership Group</w:t>
      </w:r>
      <w:bookmarkEnd w:id="84"/>
      <w:bookmarkEnd w:id="85"/>
      <w:r w:rsidRPr="00756027">
        <w:t xml:space="preserve"> </w:t>
      </w:r>
    </w:p>
    <w:tbl>
      <w:tblPr>
        <w:tblW w:w="9977" w:type="dxa"/>
        <w:tblCellMar>
          <w:left w:w="0" w:type="dxa"/>
          <w:right w:w="0" w:type="dxa"/>
        </w:tblCellMar>
        <w:tblLook w:val="04A0" w:firstRow="1" w:lastRow="0" w:firstColumn="1" w:lastColumn="0" w:noHBand="0" w:noVBand="1"/>
      </w:tblPr>
      <w:tblGrid>
        <w:gridCol w:w="9977"/>
      </w:tblGrid>
      <w:tr w:rsidR="00C51605" w:rsidRPr="00C96C44" w14:paraId="3DE495A3" w14:textId="77777777" w:rsidTr="00A60200">
        <w:trPr>
          <w:trHeight w:val="842"/>
        </w:trPr>
        <w:tc>
          <w:tcPr>
            <w:tcW w:w="9977" w:type="dxa"/>
            <w:shd w:val="clear" w:color="auto" w:fill="auto"/>
            <w:vAlign w:val="bottom"/>
            <w:hideMark/>
          </w:tcPr>
          <w:p w14:paraId="434621E8" w14:textId="12B2F9D8" w:rsidR="00C51605" w:rsidRPr="00756027" w:rsidRDefault="00384990" w:rsidP="009376ED">
            <w:pPr>
              <w:pStyle w:val="Heading3"/>
            </w:pPr>
            <w:r w:rsidRPr="00756027">
              <w:t>Terms of reference</w:t>
            </w:r>
          </w:p>
          <w:p w14:paraId="422DDDBB" w14:textId="58832668" w:rsidR="00C51605" w:rsidRPr="00C96C44" w:rsidRDefault="00C51605" w:rsidP="009376ED">
            <w:pPr>
              <w:pStyle w:val="Heading4"/>
              <w:rPr>
                <w:rFonts w:ascii="Times New Roman" w:hAnsi="Times New Roman"/>
                <w:lang w:eastAsia="en-AU"/>
              </w:rPr>
            </w:pPr>
            <w:r w:rsidRPr="00C96C44">
              <w:rPr>
                <w:lang w:eastAsia="en-AU"/>
              </w:rPr>
              <w:t>High</w:t>
            </w:r>
            <w:r>
              <w:rPr>
                <w:lang w:eastAsia="en-AU"/>
              </w:rPr>
              <w:t xml:space="preserve"> </w:t>
            </w:r>
            <w:r w:rsidRPr="00C96C44">
              <w:rPr>
                <w:lang w:eastAsia="en-AU"/>
              </w:rPr>
              <w:t>Risk Accommodation Response</w:t>
            </w:r>
          </w:p>
          <w:p w14:paraId="74A01F7B" w14:textId="04253A02" w:rsidR="00C51605" w:rsidRPr="00C96C44" w:rsidRDefault="00C51605" w:rsidP="009376ED">
            <w:pPr>
              <w:pStyle w:val="Heading5"/>
              <w:spacing w:before="120"/>
              <w:rPr>
                <w:rFonts w:ascii="Times New Roman" w:hAnsi="Times New Roman"/>
                <w:lang w:eastAsia="en-AU"/>
              </w:rPr>
            </w:pPr>
            <w:r w:rsidRPr="00C96C44">
              <w:rPr>
                <w:i/>
                <w:lang w:eastAsia="en-AU"/>
              </w:rPr>
              <w:t>&lt;insert catchment name&gt;</w:t>
            </w:r>
            <w:r w:rsidRPr="00C96C44">
              <w:rPr>
                <w:lang w:eastAsia="en-AU"/>
              </w:rPr>
              <w:t> Catchment Leadership Group</w:t>
            </w:r>
          </w:p>
        </w:tc>
      </w:tr>
      <w:tr w:rsidR="00C51605" w:rsidRPr="00C96C44" w14:paraId="07699E12" w14:textId="77777777" w:rsidTr="00A60200">
        <w:trPr>
          <w:trHeight w:val="243"/>
        </w:trPr>
        <w:tc>
          <w:tcPr>
            <w:tcW w:w="9977" w:type="dxa"/>
            <w:shd w:val="clear" w:color="auto" w:fill="auto"/>
            <w:hideMark/>
          </w:tcPr>
          <w:p w14:paraId="054D740C" w14:textId="77777777" w:rsidR="00C51605" w:rsidRPr="00076F33" w:rsidRDefault="00C51605" w:rsidP="009376ED">
            <w:pPr>
              <w:pStyle w:val="Heading5"/>
              <w:rPr>
                <w:rFonts w:ascii="Times New Roman" w:hAnsi="Times New Roman"/>
                <w:lang w:eastAsia="en-AU"/>
              </w:rPr>
            </w:pPr>
            <w:r w:rsidRPr="00076F33">
              <w:rPr>
                <w:lang w:eastAsia="en-AU"/>
              </w:rPr>
              <w:t>Terms of reference </w:t>
            </w:r>
          </w:p>
        </w:tc>
      </w:tr>
      <w:tr w:rsidR="00C51605" w:rsidRPr="00C96C44" w14:paraId="65375450" w14:textId="77777777" w:rsidTr="00A60200">
        <w:trPr>
          <w:trHeight w:val="179"/>
        </w:trPr>
        <w:tc>
          <w:tcPr>
            <w:tcW w:w="9977" w:type="dxa"/>
            <w:shd w:val="clear" w:color="auto" w:fill="auto"/>
            <w:hideMark/>
          </w:tcPr>
          <w:p w14:paraId="79E1C45E" w14:textId="77777777" w:rsidR="00C51605" w:rsidRPr="00C96C44" w:rsidRDefault="00C51605" w:rsidP="00C51605">
            <w:pPr>
              <w:textAlignment w:val="baseline"/>
              <w:rPr>
                <w:rFonts w:ascii="Times New Roman" w:hAnsi="Times New Roman"/>
                <w:b/>
                <w:bCs/>
                <w:color w:val="000000"/>
                <w:lang w:eastAsia="en-AU"/>
              </w:rPr>
            </w:pPr>
            <w:r w:rsidRPr="00C96C44">
              <w:rPr>
                <w:rFonts w:cs="Arial"/>
                <w:b/>
                <w:bCs/>
                <w:color w:val="000000"/>
                <w:shd w:val="clear" w:color="auto" w:fill="E1E3E6"/>
                <w:lang w:eastAsia="en-AU"/>
              </w:rPr>
              <w:t>OFFICIAL</w:t>
            </w:r>
            <w:r w:rsidRPr="00C96C44">
              <w:rPr>
                <w:rFonts w:cs="Arial"/>
                <w:b/>
                <w:bCs/>
                <w:color w:val="000000"/>
                <w:lang w:eastAsia="en-AU"/>
              </w:rPr>
              <w:t> </w:t>
            </w:r>
          </w:p>
        </w:tc>
      </w:tr>
    </w:tbl>
    <w:p w14:paraId="16AA7F2B" w14:textId="77777777" w:rsidR="00C51605" w:rsidRDefault="00C51605" w:rsidP="00C51605">
      <w:pPr>
        <w:pStyle w:val="paragraph"/>
        <w:spacing w:before="0" w:beforeAutospacing="0" w:after="0" w:afterAutospacing="0"/>
        <w:textAlignment w:val="baseline"/>
        <w:rPr>
          <w:rFonts w:ascii="Arial" w:hAnsi="Arial" w:cs="Arial"/>
          <w:sz w:val="20"/>
          <w:szCs w:val="20"/>
        </w:rPr>
      </w:pPr>
    </w:p>
    <w:p w14:paraId="25DD62FF" w14:textId="77777777" w:rsidR="00C51605" w:rsidRPr="00C51605" w:rsidRDefault="00C51605" w:rsidP="00756027">
      <w:pPr>
        <w:pStyle w:val="DHHSbody"/>
        <w:rPr>
          <w:rFonts w:ascii="Segoe UI" w:hAnsi="Segoe UI" w:cs="Segoe UI"/>
        </w:rPr>
      </w:pPr>
      <w:r w:rsidRPr="00C51605">
        <w:t>Please note: while Terms of Reference for Catchment Leadership Groups are required under the HRAR specifications, the use of </w:t>
      </w:r>
      <w:r w:rsidRPr="00384990">
        <w:rPr>
          <w:rStyle w:val="Strong"/>
        </w:rPr>
        <w:t>this template is optional</w:t>
      </w:r>
      <w:r w:rsidRPr="00C51605">
        <w:t> and is provided to give an indication of likely membership and content. Lead Providers may wish to use their own formats and membership arrangements, in line with the specifications. For those who wish to use this template, this paragraph should be deleted.  </w:t>
      </w:r>
    </w:p>
    <w:p w14:paraId="5B321C40" w14:textId="0ED5E548" w:rsidR="00C51605" w:rsidRPr="00BD4FF7" w:rsidRDefault="00C51605" w:rsidP="00574F9E">
      <w:pPr>
        <w:pStyle w:val="Heading3"/>
        <w:rPr>
          <w:rFonts w:ascii="Segoe UI" w:hAnsi="Segoe UI" w:cs="Segoe UI"/>
          <w:lang w:eastAsia="en-AU"/>
        </w:rPr>
      </w:pPr>
      <w:r w:rsidRPr="00BD4FF7">
        <w:rPr>
          <w:lang w:eastAsia="en-AU"/>
        </w:rPr>
        <w:t>Background</w:t>
      </w:r>
    </w:p>
    <w:p w14:paraId="2C72A4E2" w14:textId="77777777" w:rsidR="00C51605" w:rsidRPr="00C51605" w:rsidRDefault="00C51605" w:rsidP="00756027">
      <w:pPr>
        <w:pStyle w:val="DHHSbody"/>
        <w:rPr>
          <w:rFonts w:ascii="Segoe UI" w:hAnsi="Segoe UI" w:cs="Segoe UI"/>
          <w:lang w:eastAsia="en-AU"/>
        </w:rPr>
      </w:pPr>
      <w:r w:rsidRPr="00C51605">
        <w:rPr>
          <w:lang w:eastAsia="en-AU"/>
        </w:rPr>
        <w:t>The Victorian Department of Families, Fairness and Housing (DFFH) provides a range of services that prevent, prepare for, and rapidly respond to the risk of COVID-19 infection in communities involved with (or who may benefit from) human services supports. The High-Risk Accommodation Response (HRAR) program is one of these services. It responds to COVID-19 risks in settings including high-risk public housing, community housing, supported residential services, rooming houses and caravan parks. </w:t>
      </w:r>
    </w:p>
    <w:p w14:paraId="452C3F94" w14:textId="77777777" w:rsidR="00C51605" w:rsidRPr="00C51605" w:rsidRDefault="00C51605" w:rsidP="00756027">
      <w:pPr>
        <w:pStyle w:val="DHHSbody"/>
        <w:rPr>
          <w:rFonts w:ascii="Segoe UI" w:hAnsi="Segoe UI" w:cs="Segoe UI"/>
          <w:lang w:eastAsia="en-AU"/>
        </w:rPr>
      </w:pPr>
      <w:r w:rsidRPr="00C51605">
        <w:rPr>
          <w:lang w:eastAsia="en-AU"/>
        </w:rPr>
        <w:t>The HRAR program is funded and supported through the Human Services COVID-19 Readiness and Response Centre (HSCRRC) within the Readiness, Response and Emergency Management Division within DFFH. The program commissions community health lead providers, working with HSCRRC divisional teams backed by central support, to carry out readiness and response activities in in-scope settings. </w:t>
      </w:r>
    </w:p>
    <w:p w14:paraId="4D8FE390" w14:textId="77777777" w:rsidR="00C51605" w:rsidRPr="00C51605" w:rsidRDefault="00C51605" w:rsidP="00756027">
      <w:pPr>
        <w:pStyle w:val="DHHSbody"/>
        <w:rPr>
          <w:rFonts w:ascii="Segoe UI" w:hAnsi="Segoe UI" w:cs="Segoe UI"/>
          <w:lang w:eastAsia="en-AU"/>
        </w:rPr>
      </w:pPr>
      <w:r w:rsidRPr="00C51605">
        <w:rPr>
          <w:lang w:eastAsia="en-AU"/>
        </w:rPr>
        <w:t>HRAR’s overarching objectives are:  </w:t>
      </w:r>
    </w:p>
    <w:p w14:paraId="2419DA24" w14:textId="77777777" w:rsidR="00C51605" w:rsidRPr="00C51605" w:rsidRDefault="00C51605" w:rsidP="002853C2">
      <w:pPr>
        <w:pStyle w:val="Bullet1"/>
        <w:numPr>
          <w:ilvl w:val="0"/>
          <w:numId w:val="23"/>
        </w:numPr>
        <w:rPr>
          <w:lang w:eastAsia="en-AU"/>
        </w:rPr>
      </w:pPr>
      <w:r w:rsidRPr="00756027">
        <w:rPr>
          <w:rStyle w:val="Strong"/>
        </w:rPr>
        <w:t>Catchment partnerships:</w:t>
      </w:r>
      <w:r w:rsidRPr="00C51605">
        <w:rPr>
          <w:lang w:eastAsia="en-AU"/>
        </w:rPr>
        <w:t> To provide a local area approach for the delivery of these services, with delineated roles and responsibilities between agencies and government bodies. </w:t>
      </w:r>
    </w:p>
    <w:p w14:paraId="0ED24DDB" w14:textId="77777777" w:rsidR="00C51605" w:rsidRPr="00C51605" w:rsidRDefault="00C51605" w:rsidP="002853C2">
      <w:pPr>
        <w:pStyle w:val="Bullet1"/>
        <w:numPr>
          <w:ilvl w:val="0"/>
          <w:numId w:val="23"/>
        </w:numPr>
        <w:rPr>
          <w:lang w:eastAsia="en-AU"/>
        </w:rPr>
      </w:pPr>
      <w:r w:rsidRPr="00756027">
        <w:rPr>
          <w:rStyle w:val="Strong"/>
        </w:rPr>
        <w:t>Community engagement:</w:t>
      </w:r>
      <w:r w:rsidRPr="00C51605">
        <w:rPr>
          <w:lang w:eastAsia="en-AU"/>
        </w:rPr>
        <w:t> To engage with people in high-risk settings and their local communities to provide information, reduce risks and promote social recovery. </w:t>
      </w:r>
    </w:p>
    <w:p w14:paraId="35017592" w14:textId="77777777" w:rsidR="00C51605" w:rsidRPr="00C51605" w:rsidRDefault="00C51605" w:rsidP="002853C2">
      <w:pPr>
        <w:pStyle w:val="Bullet1"/>
        <w:numPr>
          <w:ilvl w:val="0"/>
          <w:numId w:val="23"/>
        </w:numPr>
        <w:rPr>
          <w:lang w:eastAsia="en-AU"/>
        </w:rPr>
      </w:pPr>
      <w:r w:rsidRPr="00756027">
        <w:rPr>
          <w:rStyle w:val="Strong"/>
        </w:rPr>
        <w:t>Prevention and preparedness:</w:t>
      </w:r>
      <w:r w:rsidRPr="00C51605">
        <w:rPr>
          <w:lang w:eastAsia="en-AU"/>
        </w:rPr>
        <w:t> To run activities that increase understanding of and response to public health messages, including the development and implementation of COVID-safe plans. </w:t>
      </w:r>
    </w:p>
    <w:p w14:paraId="14081F8F" w14:textId="77777777" w:rsidR="00C51605" w:rsidRPr="00C51605" w:rsidRDefault="00C51605" w:rsidP="002853C2">
      <w:pPr>
        <w:pStyle w:val="Bullet1"/>
        <w:numPr>
          <w:ilvl w:val="0"/>
          <w:numId w:val="23"/>
        </w:numPr>
        <w:rPr>
          <w:lang w:eastAsia="en-AU"/>
        </w:rPr>
      </w:pPr>
      <w:r w:rsidRPr="00756027">
        <w:rPr>
          <w:rStyle w:val="Strong"/>
        </w:rPr>
        <w:t>Active linkage to social supports:</w:t>
      </w:r>
      <w:r w:rsidRPr="00C51605">
        <w:rPr>
          <w:lang w:eastAsia="en-AU"/>
        </w:rPr>
        <w:t> To support people in high-risk settings to access culturally appropriate support services to meet their needs and support social recovery efforts. </w:t>
      </w:r>
    </w:p>
    <w:p w14:paraId="7AC306E1" w14:textId="44AC8C80" w:rsidR="00C51605" w:rsidRPr="00756027" w:rsidRDefault="00C51605" w:rsidP="002853C2">
      <w:pPr>
        <w:pStyle w:val="Bullet1"/>
        <w:numPr>
          <w:ilvl w:val="0"/>
          <w:numId w:val="23"/>
        </w:numPr>
        <w:rPr>
          <w:lang w:eastAsia="en-AU"/>
        </w:rPr>
      </w:pPr>
      <w:r w:rsidRPr="00756027">
        <w:rPr>
          <w:rStyle w:val="Strong"/>
        </w:rPr>
        <w:t>Outbreak support:</w:t>
      </w:r>
      <w:r w:rsidRPr="00C51605">
        <w:rPr>
          <w:lang w:eastAsia="en-AU"/>
        </w:rPr>
        <w:t> Support outbreak response activities to protect the health and wellbeing of people in high-risk settings from COVID-19 infection and its impacts</w:t>
      </w:r>
      <w:r w:rsidRPr="00A322C8">
        <w:rPr>
          <w:lang w:eastAsia="en-AU"/>
        </w:rPr>
        <w:t>. </w:t>
      </w:r>
    </w:p>
    <w:p w14:paraId="626752DD" w14:textId="77777777" w:rsidR="00C51605" w:rsidRPr="00756027" w:rsidRDefault="00C51605" w:rsidP="00574F9E">
      <w:pPr>
        <w:pStyle w:val="Heading3"/>
      </w:pPr>
      <w:r w:rsidRPr="00756027">
        <w:t>Purpose </w:t>
      </w:r>
    </w:p>
    <w:p w14:paraId="30E2C25A" w14:textId="5538A960" w:rsidR="00C51605" w:rsidRPr="00BD4FF7" w:rsidRDefault="00C51605" w:rsidP="00756027">
      <w:pPr>
        <w:pStyle w:val="DHHSbody"/>
        <w:rPr>
          <w:rFonts w:ascii="Segoe UI" w:hAnsi="Segoe UI" w:cs="Segoe UI"/>
          <w:lang w:eastAsia="en-AU"/>
        </w:rPr>
      </w:pPr>
      <w:r w:rsidRPr="00BD4FF7">
        <w:rPr>
          <w:lang w:eastAsia="en-AU"/>
        </w:rPr>
        <w:t>The </w:t>
      </w:r>
      <w:r w:rsidRPr="00756027">
        <w:rPr>
          <w:rStyle w:val="Emphasis"/>
        </w:rPr>
        <w:t>&lt;insert catchment name&gt; </w:t>
      </w:r>
      <w:r w:rsidRPr="00BD4FF7">
        <w:rPr>
          <w:lang w:eastAsia="en-AU"/>
        </w:rPr>
        <w:t>Catchment Leadership Group is responsible for local area coordination and support of the five pillars of service delivery within the HRAR Extension. The Catchment Leadership Group will not have a formal decision-making capacity but will act as a mechanism for collaboration, strategic direction and relationship building.</w:t>
      </w:r>
    </w:p>
    <w:p w14:paraId="61E3D5AB" w14:textId="79C69A98" w:rsidR="00C51605" w:rsidRPr="009376ED" w:rsidRDefault="00C51605" w:rsidP="00574F9E">
      <w:pPr>
        <w:pStyle w:val="Heading3"/>
      </w:pPr>
      <w:r w:rsidRPr="009376ED">
        <w:t>Scope </w:t>
      </w:r>
    </w:p>
    <w:p w14:paraId="7C88F6D4" w14:textId="77777777" w:rsidR="00C51605" w:rsidRPr="00C51605" w:rsidRDefault="00C51605" w:rsidP="00756027">
      <w:pPr>
        <w:pStyle w:val="DHHSbody"/>
        <w:rPr>
          <w:rFonts w:ascii="Segoe UI" w:hAnsi="Segoe UI" w:cs="Segoe UI"/>
          <w:lang w:eastAsia="en-AU"/>
        </w:rPr>
      </w:pPr>
      <w:r w:rsidRPr="00C51605">
        <w:rPr>
          <w:lang w:eastAsia="en-AU"/>
        </w:rPr>
        <w:t>Discussion topics will focus on, but are not limited to: </w:t>
      </w:r>
    </w:p>
    <w:p w14:paraId="2D7230EE" w14:textId="77777777" w:rsidR="00C51605" w:rsidRPr="00C51605" w:rsidRDefault="00C51605" w:rsidP="00756027">
      <w:pPr>
        <w:pStyle w:val="Bullet1"/>
        <w:rPr>
          <w:lang w:eastAsia="en-AU"/>
        </w:rPr>
      </w:pPr>
      <w:r w:rsidRPr="00C51605">
        <w:rPr>
          <w:lang w:eastAsia="en-AU"/>
        </w:rPr>
        <w:t>sharing local intelligence to inform prioritisation of properties for new or additional prevention and preparedness activities (including vaccination support). </w:t>
      </w:r>
    </w:p>
    <w:p w14:paraId="10CBF581" w14:textId="77777777" w:rsidR="00C51605" w:rsidRPr="00C51605" w:rsidRDefault="00C51605" w:rsidP="00756027">
      <w:pPr>
        <w:pStyle w:val="Bullet1"/>
        <w:rPr>
          <w:lang w:eastAsia="en-AU"/>
        </w:rPr>
      </w:pPr>
      <w:r w:rsidRPr="00C51605">
        <w:rPr>
          <w:lang w:eastAsia="en-AU"/>
        </w:rPr>
        <w:lastRenderedPageBreak/>
        <w:t>identification and support of social and economic recovery and community resilience activities. </w:t>
      </w:r>
    </w:p>
    <w:p w14:paraId="7B95FD92" w14:textId="77777777" w:rsidR="00C51605" w:rsidRPr="00C51605" w:rsidRDefault="00C51605" w:rsidP="00756027">
      <w:pPr>
        <w:pStyle w:val="Bullet1"/>
        <w:rPr>
          <w:lang w:eastAsia="en-AU"/>
        </w:rPr>
      </w:pPr>
      <w:r w:rsidRPr="00C51605">
        <w:rPr>
          <w:lang w:eastAsia="en-AU"/>
        </w:rPr>
        <w:t>collaboration and engagement.  </w:t>
      </w:r>
    </w:p>
    <w:p w14:paraId="442DD495" w14:textId="77777777" w:rsidR="00C51605" w:rsidRPr="00C51605" w:rsidRDefault="00C51605" w:rsidP="00756027">
      <w:pPr>
        <w:pStyle w:val="DHHSbodyafterbullets"/>
        <w:rPr>
          <w:rFonts w:ascii="Segoe UI" w:hAnsi="Segoe UI" w:cs="Segoe UI"/>
          <w:lang w:eastAsia="en-AU"/>
        </w:rPr>
      </w:pPr>
      <w:r w:rsidRPr="00C51605">
        <w:rPr>
          <w:lang w:eastAsia="en-AU"/>
        </w:rPr>
        <w:t>Accommodation settings within scope for the HRAR Extension include government and non-government-managed sites across the state of Victoria, which have been identified as high-risk accommodation. </w:t>
      </w:r>
    </w:p>
    <w:p w14:paraId="2D412C6D" w14:textId="77777777" w:rsidR="00C51605" w:rsidRPr="00C51605" w:rsidRDefault="00C51605" w:rsidP="00756027">
      <w:pPr>
        <w:pStyle w:val="DHHSbody"/>
        <w:rPr>
          <w:rFonts w:ascii="Segoe UI" w:hAnsi="Segoe UI" w:cs="Segoe UI"/>
          <w:lang w:eastAsia="en-AU"/>
        </w:rPr>
      </w:pPr>
      <w:r w:rsidRPr="00C51605">
        <w:rPr>
          <w:lang w:eastAsia="en-AU"/>
        </w:rPr>
        <w:t>The range of populations and accommodation types within scope include: </w:t>
      </w:r>
    </w:p>
    <w:p w14:paraId="38521256" w14:textId="77777777" w:rsidR="00C51605" w:rsidRPr="00C51605" w:rsidRDefault="00C51605" w:rsidP="00756027">
      <w:pPr>
        <w:pStyle w:val="Bullet1"/>
        <w:rPr>
          <w:lang w:eastAsia="en-AU"/>
        </w:rPr>
      </w:pPr>
      <w:r w:rsidRPr="00C51605">
        <w:rPr>
          <w:lang w:eastAsia="en-AU"/>
        </w:rPr>
        <w:t>High-rise public housing </w:t>
      </w:r>
    </w:p>
    <w:p w14:paraId="3F9644AF" w14:textId="77777777" w:rsidR="00C51605" w:rsidRPr="00C51605" w:rsidRDefault="00C51605" w:rsidP="00756027">
      <w:pPr>
        <w:pStyle w:val="Bullet1"/>
        <w:rPr>
          <w:lang w:eastAsia="en-AU"/>
        </w:rPr>
      </w:pPr>
      <w:r w:rsidRPr="00C51605">
        <w:rPr>
          <w:lang w:eastAsia="en-AU"/>
        </w:rPr>
        <w:t>Low-and medium-rise public housing – where there are shared facilities (e.g. laundry, kitchen) or access point (e.g. lifts, stairs) </w:t>
      </w:r>
    </w:p>
    <w:p w14:paraId="02D5C671" w14:textId="77777777" w:rsidR="00C51605" w:rsidRPr="00C51605" w:rsidRDefault="00C51605" w:rsidP="00756027">
      <w:pPr>
        <w:pStyle w:val="Bullet1"/>
        <w:rPr>
          <w:lang w:eastAsia="en-AU"/>
        </w:rPr>
      </w:pPr>
      <w:r w:rsidRPr="00C51605">
        <w:rPr>
          <w:lang w:eastAsia="en-AU"/>
        </w:rPr>
        <w:t>Residential disability settings </w:t>
      </w:r>
    </w:p>
    <w:p w14:paraId="5E2AA0DC" w14:textId="77777777" w:rsidR="00C51605" w:rsidRPr="00C51605" w:rsidRDefault="00C51605" w:rsidP="00756027">
      <w:pPr>
        <w:pStyle w:val="Bullet1"/>
        <w:rPr>
          <w:lang w:eastAsia="en-AU"/>
        </w:rPr>
      </w:pPr>
      <w:r w:rsidRPr="00C51605">
        <w:rPr>
          <w:lang w:eastAsia="en-AU"/>
        </w:rPr>
        <w:t>Supported residential services (SRS) </w:t>
      </w:r>
    </w:p>
    <w:p w14:paraId="246A0087" w14:textId="77777777" w:rsidR="00C51605" w:rsidRPr="00C51605" w:rsidRDefault="00C51605" w:rsidP="00756027">
      <w:pPr>
        <w:pStyle w:val="Bullet1"/>
        <w:rPr>
          <w:lang w:eastAsia="en-AU"/>
        </w:rPr>
      </w:pPr>
      <w:r w:rsidRPr="00C51605">
        <w:rPr>
          <w:lang w:eastAsia="en-AU"/>
        </w:rPr>
        <w:t>Rooming houses (private, community, and unregistered where/as known) </w:t>
      </w:r>
    </w:p>
    <w:p w14:paraId="11A2F50A" w14:textId="77777777" w:rsidR="00C51605" w:rsidRPr="00C51605" w:rsidRDefault="00C51605" w:rsidP="00756027">
      <w:pPr>
        <w:pStyle w:val="Bullet1"/>
        <w:rPr>
          <w:lang w:eastAsia="en-AU"/>
        </w:rPr>
      </w:pPr>
      <w:r w:rsidRPr="00C51605">
        <w:rPr>
          <w:lang w:eastAsia="en-AU"/>
        </w:rPr>
        <w:t>Community housing </w:t>
      </w:r>
    </w:p>
    <w:p w14:paraId="010300CB" w14:textId="3B3801B4" w:rsidR="00C51605" w:rsidRPr="00756027" w:rsidRDefault="00C51605" w:rsidP="00756027">
      <w:pPr>
        <w:pStyle w:val="Bullet1"/>
        <w:rPr>
          <w:lang w:eastAsia="en-AU"/>
        </w:rPr>
      </w:pPr>
      <w:r w:rsidRPr="00C51605">
        <w:rPr>
          <w:lang w:eastAsia="en-AU"/>
        </w:rPr>
        <w:t>Other high-risk or high-density settings including caravan parks on a case-by-case basis.</w:t>
      </w:r>
      <w:r w:rsidRPr="00BD4FF7">
        <w:rPr>
          <w:lang w:eastAsia="en-AU"/>
        </w:rPr>
        <w:t> </w:t>
      </w:r>
    </w:p>
    <w:p w14:paraId="6B420DD6" w14:textId="77777777" w:rsidR="00C51605" w:rsidRPr="00BD4FF7" w:rsidRDefault="00C51605" w:rsidP="00574F9E">
      <w:pPr>
        <w:pStyle w:val="Heading3"/>
        <w:rPr>
          <w:rFonts w:ascii="Segoe UI" w:hAnsi="Segoe UI" w:cs="Segoe UI"/>
          <w:lang w:eastAsia="en-AU"/>
        </w:rPr>
      </w:pPr>
      <w:r w:rsidRPr="00BD4FF7">
        <w:rPr>
          <w:lang w:eastAsia="en-AU"/>
        </w:rPr>
        <w:t>Membership </w:t>
      </w:r>
    </w:p>
    <w:tbl>
      <w:tblPr>
        <w:tblW w:w="103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Caption w:val="Membership list template"/>
        <w:tblDescription w:val="Organisation; Title; Name"/>
      </w:tblPr>
      <w:tblGrid>
        <w:gridCol w:w="5946"/>
        <w:gridCol w:w="2835"/>
        <w:gridCol w:w="1569"/>
      </w:tblGrid>
      <w:tr w:rsidR="00C51605" w:rsidRPr="00C51605" w14:paraId="7C1840C9" w14:textId="77777777" w:rsidTr="00717ED8">
        <w:trPr>
          <w:trHeight w:val="345"/>
        </w:trPr>
        <w:tc>
          <w:tcPr>
            <w:tcW w:w="5946" w:type="dxa"/>
            <w:shd w:val="clear" w:color="auto" w:fill="auto"/>
            <w:hideMark/>
          </w:tcPr>
          <w:p w14:paraId="6019BD62" w14:textId="77777777" w:rsidR="00C51605" w:rsidRPr="00A201D8" w:rsidRDefault="00C51605" w:rsidP="005325AE">
            <w:pPr>
              <w:pStyle w:val="DHHStablecolhead"/>
            </w:pPr>
            <w:r w:rsidRPr="00A201D8">
              <w:t>Organisation </w:t>
            </w:r>
          </w:p>
        </w:tc>
        <w:tc>
          <w:tcPr>
            <w:tcW w:w="2835" w:type="dxa"/>
            <w:shd w:val="clear" w:color="auto" w:fill="auto"/>
            <w:hideMark/>
          </w:tcPr>
          <w:p w14:paraId="56833A88" w14:textId="77777777" w:rsidR="00C51605" w:rsidRPr="00A201D8" w:rsidRDefault="00C51605" w:rsidP="005325AE">
            <w:pPr>
              <w:pStyle w:val="DHHStablecolhead"/>
            </w:pPr>
            <w:r w:rsidRPr="00A201D8">
              <w:t>Title  </w:t>
            </w:r>
          </w:p>
        </w:tc>
        <w:tc>
          <w:tcPr>
            <w:tcW w:w="1569" w:type="dxa"/>
            <w:shd w:val="clear" w:color="auto" w:fill="auto"/>
            <w:hideMark/>
          </w:tcPr>
          <w:p w14:paraId="03695CC2" w14:textId="77777777" w:rsidR="00C51605" w:rsidRPr="00A201D8" w:rsidRDefault="00C51605" w:rsidP="005325AE">
            <w:pPr>
              <w:pStyle w:val="DHHStablecolhead"/>
            </w:pPr>
            <w:r w:rsidRPr="00A201D8">
              <w:t>Name </w:t>
            </w:r>
          </w:p>
        </w:tc>
      </w:tr>
      <w:tr w:rsidR="00C51605" w:rsidRPr="00C51605" w14:paraId="6514D61C" w14:textId="77777777" w:rsidTr="00717ED8">
        <w:trPr>
          <w:trHeight w:val="345"/>
        </w:trPr>
        <w:tc>
          <w:tcPr>
            <w:tcW w:w="5946" w:type="dxa"/>
            <w:shd w:val="clear" w:color="auto" w:fill="auto"/>
            <w:hideMark/>
          </w:tcPr>
          <w:p w14:paraId="497A55B5" w14:textId="77777777" w:rsidR="00C51605" w:rsidRPr="00C51605" w:rsidRDefault="00C51605" w:rsidP="00A201D8">
            <w:pPr>
              <w:pStyle w:val="DHHStabletext"/>
              <w:spacing w:before="0" w:after="0"/>
              <w:rPr>
                <w:lang w:eastAsia="en-AU"/>
              </w:rPr>
            </w:pPr>
            <w:r w:rsidRPr="00C51605">
              <w:rPr>
                <w:lang w:eastAsia="en-AU"/>
              </w:rPr>
              <w:t>Lead Provider </w:t>
            </w:r>
          </w:p>
        </w:tc>
        <w:tc>
          <w:tcPr>
            <w:tcW w:w="2835" w:type="dxa"/>
            <w:shd w:val="clear" w:color="auto" w:fill="auto"/>
            <w:hideMark/>
          </w:tcPr>
          <w:p w14:paraId="7536CFCD" w14:textId="77777777" w:rsidR="00C51605" w:rsidRPr="00C51605" w:rsidRDefault="00C51605" w:rsidP="00A201D8">
            <w:pPr>
              <w:pStyle w:val="DHHStabletext"/>
              <w:spacing w:before="0" w:after="0"/>
              <w:rPr>
                <w:lang w:eastAsia="en-AU"/>
              </w:rPr>
            </w:pPr>
            <w:r w:rsidRPr="00C51605">
              <w:rPr>
                <w:lang w:eastAsia="en-AU"/>
              </w:rPr>
              <w:t>CEO (Chair) </w:t>
            </w:r>
          </w:p>
        </w:tc>
        <w:tc>
          <w:tcPr>
            <w:tcW w:w="1569" w:type="dxa"/>
            <w:shd w:val="clear" w:color="auto" w:fill="auto"/>
            <w:hideMark/>
          </w:tcPr>
          <w:p w14:paraId="52CEDD83"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325A5975" w14:textId="77777777" w:rsidTr="00717ED8">
        <w:trPr>
          <w:trHeight w:val="345"/>
        </w:trPr>
        <w:tc>
          <w:tcPr>
            <w:tcW w:w="5946" w:type="dxa"/>
            <w:shd w:val="clear" w:color="auto" w:fill="auto"/>
            <w:hideMark/>
          </w:tcPr>
          <w:p w14:paraId="6B66E31C" w14:textId="77777777" w:rsidR="00C51605" w:rsidRPr="00C51605" w:rsidRDefault="00C51605" w:rsidP="00A201D8">
            <w:pPr>
              <w:pStyle w:val="DHHStabletext"/>
              <w:spacing w:before="0" w:after="0"/>
              <w:rPr>
                <w:lang w:eastAsia="en-AU"/>
              </w:rPr>
            </w:pPr>
            <w:r w:rsidRPr="00C51605">
              <w:rPr>
                <w:lang w:eastAsia="en-AU"/>
              </w:rPr>
              <w:t>Lead Provider </w:t>
            </w:r>
          </w:p>
        </w:tc>
        <w:tc>
          <w:tcPr>
            <w:tcW w:w="2835" w:type="dxa"/>
            <w:shd w:val="clear" w:color="auto" w:fill="auto"/>
            <w:hideMark/>
          </w:tcPr>
          <w:p w14:paraId="65239B70" w14:textId="77777777" w:rsidR="00C51605" w:rsidRPr="00C51605" w:rsidRDefault="00C51605" w:rsidP="00A201D8">
            <w:pPr>
              <w:pStyle w:val="DHHStabletext"/>
              <w:spacing w:before="0" w:after="0"/>
              <w:rPr>
                <w:lang w:eastAsia="en-AU"/>
              </w:rPr>
            </w:pPr>
            <w:r w:rsidRPr="00C51605">
              <w:rPr>
                <w:lang w:eastAsia="en-AU"/>
              </w:rPr>
              <w:t>HRAR Manager </w:t>
            </w:r>
          </w:p>
        </w:tc>
        <w:tc>
          <w:tcPr>
            <w:tcW w:w="1569" w:type="dxa"/>
            <w:shd w:val="clear" w:color="auto" w:fill="auto"/>
            <w:hideMark/>
          </w:tcPr>
          <w:p w14:paraId="220EF1AE"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601F38CC" w14:textId="77777777" w:rsidTr="00717ED8">
        <w:trPr>
          <w:trHeight w:val="392"/>
        </w:trPr>
        <w:tc>
          <w:tcPr>
            <w:tcW w:w="5946" w:type="dxa"/>
            <w:shd w:val="clear" w:color="auto" w:fill="auto"/>
            <w:hideMark/>
          </w:tcPr>
          <w:p w14:paraId="4F26AEA7" w14:textId="77777777" w:rsidR="00C51605" w:rsidRPr="00C51605" w:rsidRDefault="00C51605" w:rsidP="00A201D8">
            <w:pPr>
              <w:pStyle w:val="DHHStabletext"/>
              <w:spacing w:before="0" w:after="0"/>
              <w:rPr>
                <w:lang w:eastAsia="en-AU"/>
              </w:rPr>
            </w:pPr>
            <w:r w:rsidRPr="00C51605">
              <w:rPr>
                <w:lang w:eastAsia="en-AU"/>
              </w:rPr>
              <w:t>Department of Families, Fairness and Housing </w:t>
            </w:r>
          </w:p>
        </w:tc>
        <w:tc>
          <w:tcPr>
            <w:tcW w:w="2835" w:type="dxa"/>
            <w:shd w:val="clear" w:color="auto" w:fill="auto"/>
            <w:hideMark/>
          </w:tcPr>
          <w:p w14:paraId="1A070BA5" w14:textId="77777777" w:rsidR="00C51605" w:rsidRPr="00C51605" w:rsidRDefault="00C51605" w:rsidP="00A201D8">
            <w:pPr>
              <w:pStyle w:val="DHHStabletext"/>
              <w:spacing w:before="0" w:after="0"/>
              <w:rPr>
                <w:lang w:eastAsia="en-AU"/>
              </w:rPr>
            </w:pPr>
            <w:r w:rsidRPr="00C51605">
              <w:rPr>
                <w:lang w:eastAsia="en-AU"/>
              </w:rPr>
              <w:t>Director, &lt;insert Division&gt; </w:t>
            </w:r>
          </w:p>
        </w:tc>
        <w:tc>
          <w:tcPr>
            <w:tcW w:w="1569" w:type="dxa"/>
            <w:shd w:val="clear" w:color="auto" w:fill="auto"/>
            <w:hideMark/>
          </w:tcPr>
          <w:p w14:paraId="1B567DA7"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0B97048C" w14:textId="77777777" w:rsidTr="00717ED8">
        <w:trPr>
          <w:trHeight w:val="705"/>
        </w:trPr>
        <w:tc>
          <w:tcPr>
            <w:tcW w:w="5946" w:type="dxa"/>
            <w:shd w:val="clear" w:color="auto" w:fill="auto"/>
            <w:hideMark/>
          </w:tcPr>
          <w:p w14:paraId="28D2CEBD" w14:textId="77777777" w:rsidR="00C51605" w:rsidRPr="00C51605" w:rsidRDefault="00C51605" w:rsidP="00A201D8">
            <w:pPr>
              <w:pStyle w:val="DHHStabletext"/>
              <w:spacing w:before="0" w:after="0"/>
              <w:rPr>
                <w:lang w:eastAsia="en-AU"/>
              </w:rPr>
            </w:pPr>
            <w:r w:rsidRPr="00C51605">
              <w:rPr>
                <w:lang w:eastAsia="en-AU"/>
              </w:rPr>
              <w:t>Department of Families, Fairness and Housing </w:t>
            </w:r>
          </w:p>
        </w:tc>
        <w:tc>
          <w:tcPr>
            <w:tcW w:w="2835" w:type="dxa"/>
            <w:shd w:val="clear" w:color="auto" w:fill="auto"/>
            <w:hideMark/>
          </w:tcPr>
          <w:p w14:paraId="3A520054" w14:textId="77777777" w:rsidR="00C51605" w:rsidRPr="00C51605" w:rsidRDefault="00C51605" w:rsidP="00A201D8">
            <w:pPr>
              <w:pStyle w:val="DHHStabletext"/>
              <w:spacing w:before="0" w:after="0"/>
              <w:rPr>
                <w:lang w:eastAsia="en-AU"/>
              </w:rPr>
            </w:pPr>
            <w:r w:rsidRPr="00C51605">
              <w:rPr>
                <w:lang w:eastAsia="en-AU"/>
              </w:rPr>
              <w:t>HRAR COVID Lead Manager &lt;insert catchment&gt; </w:t>
            </w:r>
          </w:p>
        </w:tc>
        <w:tc>
          <w:tcPr>
            <w:tcW w:w="1569" w:type="dxa"/>
            <w:shd w:val="clear" w:color="auto" w:fill="auto"/>
            <w:hideMark/>
          </w:tcPr>
          <w:p w14:paraId="76E35DEB"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30A94B23" w14:textId="77777777" w:rsidTr="00717ED8">
        <w:trPr>
          <w:trHeight w:val="705"/>
        </w:trPr>
        <w:tc>
          <w:tcPr>
            <w:tcW w:w="5946" w:type="dxa"/>
            <w:shd w:val="clear" w:color="auto" w:fill="auto"/>
            <w:hideMark/>
          </w:tcPr>
          <w:p w14:paraId="3B963238" w14:textId="77777777" w:rsidR="00C51605" w:rsidRPr="00C51605" w:rsidRDefault="00C51605" w:rsidP="00A201D8">
            <w:pPr>
              <w:pStyle w:val="DHHStabletext"/>
              <w:spacing w:before="0" w:after="0"/>
              <w:rPr>
                <w:lang w:eastAsia="en-AU"/>
              </w:rPr>
            </w:pPr>
            <w:r w:rsidRPr="00C51605">
              <w:rPr>
                <w:lang w:eastAsia="en-AU"/>
              </w:rPr>
              <w:t>Department of Families, Fairness and Housing </w:t>
            </w:r>
          </w:p>
        </w:tc>
        <w:tc>
          <w:tcPr>
            <w:tcW w:w="2835" w:type="dxa"/>
            <w:shd w:val="clear" w:color="auto" w:fill="auto"/>
            <w:hideMark/>
          </w:tcPr>
          <w:p w14:paraId="1488B139" w14:textId="6DE50D8B" w:rsidR="00C51605" w:rsidRPr="00C51605" w:rsidRDefault="00C51605" w:rsidP="00A201D8">
            <w:pPr>
              <w:pStyle w:val="DHHStabletext"/>
              <w:spacing w:before="0" w:after="0"/>
              <w:rPr>
                <w:lang w:eastAsia="en-AU"/>
              </w:rPr>
            </w:pPr>
            <w:r w:rsidRPr="00C51605">
              <w:rPr>
                <w:lang w:eastAsia="en-AU"/>
              </w:rPr>
              <w:t>Manager, Client Support and Housing Services </w:t>
            </w:r>
          </w:p>
        </w:tc>
        <w:tc>
          <w:tcPr>
            <w:tcW w:w="1569" w:type="dxa"/>
            <w:shd w:val="clear" w:color="auto" w:fill="auto"/>
            <w:hideMark/>
          </w:tcPr>
          <w:p w14:paraId="5B038244"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1B4339A7" w14:textId="77777777" w:rsidTr="00717ED8">
        <w:trPr>
          <w:trHeight w:val="758"/>
        </w:trPr>
        <w:tc>
          <w:tcPr>
            <w:tcW w:w="5946" w:type="dxa"/>
            <w:shd w:val="clear" w:color="auto" w:fill="auto"/>
            <w:hideMark/>
          </w:tcPr>
          <w:p w14:paraId="69B44EC9" w14:textId="77777777" w:rsidR="00C51605" w:rsidRPr="00C51605" w:rsidRDefault="00C51605" w:rsidP="00A201D8">
            <w:pPr>
              <w:pStyle w:val="DHHStabletext"/>
              <w:spacing w:before="0" w:after="0"/>
              <w:rPr>
                <w:lang w:eastAsia="en-AU"/>
              </w:rPr>
            </w:pPr>
            <w:r w:rsidRPr="00C51605">
              <w:rPr>
                <w:lang w:eastAsia="en-AU"/>
              </w:rPr>
              <w:t>Department of Justice and Community Safety </w:t>
            </w:r>
          </w:p>
        </w:tc>
        <w:tc>
          <w:tcPr>
            <w:tcW w:w="2835" w:type="dxa"/>
            <w:shd w:val="clear" w:color="auto" w:fill="auto"/>
            <w:hideMark/>
          </w:tcPr>
          <w:p w14:paraId="453F6364" w14:textId="77777777" w:rsidR="00C51605" w:rsidRPr="00C51605" w:rsidRDefault="00C51605" w:rsidP="00A201D8">
            <w:pPr>
              <w:pStyle w:val="DHHStabletext"/>
              <w:spacing w:before="0" w:after="0"/>
              <w:rPr>
                <w:lang w:eastAsia="en-AU"/>
              </w:rPr>
            </w:pPr>
            <w:r w:rsidRPr="00C51605">
              <w:rPr>
                <w:lang w:eastAsia="en-AU"/>
              </w:rPr>
              <w:t>General Manager, Community Services </w:t>
            </w:r>
          </w:p>
        </w:tc>
        <w:tc>
          <w:tcPr>
            <w:tcW w:w="1569" w:type="dxa"/>
            <w:shd w:val="clear" w:color="auto" w:fill="auto"/>
            <w:hideMark/>
          </w:tcPr>
          <w:p w14:paraId="2BD4BC29"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639905EC" w14:textId="77777777" w:rsidTr="00717ED8">
        <w:trPr>
          <w:trHeight w:val="345"/>
        </w:trPr>
        <w:tc>
          <w:tcPr>
            <w:tcW w:w="5946" w:type="dxa"/>
            <w:shd w:val="clear" w:color="auto" w:fill="auto"/>
            <w:hideMark/>
          </w:tcPr>
          <w:p w14:paraId="7D077D74" w14:textId="77777777" w:rsidR="00C51605" w:rsidRPr="00C51605" w:rsidRDefault="00C51605" w:rsidP="00A201D8">
            <w:pPr>
              <w:pStyle w:val="DHHStabletext"/>
              <w:spacing w:before="0" w:after="0"/>
              <w:rPr>
                <w:lang w:eastAsia="en-AU"/>
              </w:rPr>
            </w:pPr>
            <w:r w:rsidRPr="00C51605">
              <w:rPr>
                <w:lang w:eastAsia="en-AU"/>
              </w:rPr>
              <w:t>Local Public Health Unit  </w:t>
            </w:r>
          </w:p>
        </w:tc>
        <w:tc>
          <w:tcPr>
            <w:tcW w:w="2835" w:type="dxa"/>
            <w:shd w:val="clear" w:color="auto" w:fill="auto"/>
            <w:hideMark/>
          </w:tcPr>
          <w:p w14:paraId="2364B76A"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69DD231D"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2F71092A" w14:textId="77777777" w:rsidTr="00717ED8">
        <w:trPr>
          <w:trHeight w:val="345"/>
        </w:trPr>
        <w:tc>
          <w:tcPr>
            <w:tcW w:w="5946" w:type="dxa"/>
            <w:shd w:val="clear" w:color="auto" w:fill="auto"/>
            <w:hideMark/>
          </w:tcPr>
          <w:p w14:paraId="00850847" w14:textId="77777777" w:rsidR="00C51605" w:rsidRPr="00C51605" w:rsidRDefault="00C51605" w:rsidP="00A201D8">
            <w:pPr>
              <w:pStyle w:val="DHHStabletext"/>
              <w:spacing w:before="0" w:after="0"/>
              <w:rPr>
                <w:lang w:eastAsia="en-AU"/>
              </w:rPr>
            </w:pPr>
            <w:r w:rsidRPr="00C51605">
              <w:rPr>
                <w:lang w:eastAsia="en-AU"/>
              </w:rPr>
              <w:t>Local Public Health Service </w:t>
            </w:r>
          </w:p>
        </w:tc>
        <w:tc>
          <w:tcPr>
            <w:tcW w:w="2835" w:type="dxa"/>
            <w:shd w:val="clear" w:color="auto" w:fill="auto"/>
            <w:hideMark/>
          </w:tcPr>
          <w:p w14:paraId="0A9B4198"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013027BC"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336A2C21" w14:textId="77777777" w:rsidTr="00717ED8">
        <w:trPr>
          <w:trHeight w:val="345"/>
        </w:trPr>
        <w:tc>
          <w:tcPr>
            <w:tcW w:w="5946" w:type="dxa"/>
            <w:shd w:val="clear" w:color="auto" w:fill="auto"/>
            <w:hideMark/>
          </w:tcPr>
          <w:p w14:paraId="1E795263" w14:textId="77777777" w:rsidR="00C51605" w:rsidRPr="00C51605" w:rsidRDefault="00C51605" w:rsidP="00A201D8">
            <w:pPr>
              <w:pStyle w:val="DHHStabletext"/>
              <w:spacing w:before="0" w:after="0"/>
              <w:rPr>
                <w:lang w:eastAsia="en-AU"/>
              </w:rPr>
            </w:pPr>
            <w:r w:rsidRPr="00C51605">
              <w:rPr>
                <w:lang w:eastAsia="en-AU"/>
              </w:rPr>
              <w:t>Local Public Health Cluster </w:t>
            </w:r>
          </w:p>
        </w:tc>
        <w:tc>
          <w:tcPr>
            <w:tcW w:w="2835" w:type="dxa"/>
            <w:shd w:val="clear" w:color="auto" w:fill="auto"/>
            <w:hideMark/>
          </w:tcPr>
          <w:p w14:paraId="2F5A5730"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37CFA142"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1F338602" w14:textId="77777777" w:rsidTr="00717ED8">
        <w:trPr>
          <w:trHeight w:val="345"/>
        </w:trPr>
        <w:tc>
          <w:tcPr>
            <w:tcW w:w="5946" w:type="dxa"/>
            <w:shd w:val="clear" w:color="auto" w:fill="auto"/>
            <w:hideMark/>
          </w:tcPr>
          <w:p w14:paraId="0B2BCEF3" w14:textId="77777777" w:rsidR="00C51605" w:rsidRPr="00C51605" w:rsidRDefault="00C51605" w:rsidP="00A201D8">
            <w:pPr>
              <w:pStyle w:val="DHHStabletext"/>
              <w:spacing w:before="0" w:after="0"/>
              <w:rPr>
                <w:lang w:eastAsia="en-AU"/>
              </w:rPr>
            </w:pPr>
            <w:r w:rsidRPr="00C51605">
              <w:rPr>
                <w:lang w:eastAsia="en-AU"/>
              </w:rPr>
              <w:t>Community Services </w:t>
            </w:r>
          </w:p>
        </w:tc>
        <w:tc>
          <w:tcPr>
            <w:tcW w:w="2835" w:type="dxa"/>
            <w:shd w:val="clear" w:color="auto" w:fill="auto"/>
            <w:hideMark/>
          </w:tcPr>
          <w:p w14:paraId="2AAEF567"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150941F1"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0003297F" w14:textId="77777777" w:rsidTr="00717ED8">
        <w:trPr>
          <w:trHeight w:val="345"/>
        </w:trPr>
        <w:tc>
          <w:tcPr>
            <w:tcW w:w="5946" w:type="dxa"/>
            <w:shd w:val="clear" w:color="auto" w:fill="auto"/>
            <w:hideMark/>
          </w:tcPr>
          <w:p w14:paraId="16A8AAD5" w14:textId="77777777" w:rsidR="00C51605" w:rsidRPr="00C51605" w:rsidRDefault="00C51605" w:rsidP="00A201D8">
            <w:pPr>
              <w:pStyle w:val="DHHStabletext"/>
              <w:spacing w:before="0" w:after="0"/>
              <w:rPr>
                <w:lang w:eastAsia="en-AU"/>
              </w:rPr>
            </w:pPr>
            <w:r w:rsidRPr="00C51605">
              <w:rPr>
                <w:lang w:eastAsia="en-AU"/>
              </w:rPr>
              <w:t>Local Government </w:t>
            </w:r>
          </w:p>
        </w:tc>
        <w:tc>
          <w:tcPr>
            <w:tcW w:w="2835" w:type="dxa"/>
            <w:shd w:val="clear" w:color="auto" w:fill="auto"/>
            <w:hideMark/>
          </w:tcPr>
          <w:p w14:paraId="5FAE7861"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434D1A9F"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01D97646" w14:textId="77777777" w:rsidTr="00717ED8">
        <w:trPr>
          <w:trHeight w:val="416"/>
        </w:trPr>
        <w:tc>
          <w:tcPr>
            <w:tcW w:w="5946" w:type="dxa"/>
            <w:shd w:val="clear" w:color="auto" w:fill="auto"/>
            <w:hideMark/>
          </w:tcPr>
          <w:p w14:paraId="145B978D" w14:textId="77777777" w:rsidR="00C51605" w:rsidRPr="00C51605" w:rsidRDefault="00C51605" w:rsidP="00A201D8">
            <w:pPr>
              <w:pStyle w:val="DHHStabletext"/>
              <w:spacing w:before="0" w:after="0"/>
              <w:rPr>
                <w:lang w:eastAsia="en-AU"/>
              </w:rPr>
            </w:pPr>
            <w:r w:rsidRPr="00C51605">
              <w:rPr>
                <w:lang w:eastAsia="en-AU"/>
              </w:rPr>
              <w:t>Local Commonwealth Disability Liaison Officer </w:t>
            </w:r>
          </w:p>
        </w:tc>
        <w:tc>
          <w:tcPr>
            <w:tcW w:w="2835" w:type="dxa"/>
            <w:shd w:val="clear" w:color="auto" w:fill="auto"/>
            <w:hideMark/>
          </w:tcPr>
          <w:p w14:paraId="18D1A85C"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3E349233"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349B9A19" w14:textId="77777777" w:rsidTr="00717ED8">
        <w:trPr>
          <w:trHeight w:val="345"/>
        </w:trPr>
        <w:tc>
          <w:tcPr>
            <w:tcW w:w="5946" w:type="dxa"/>
            <w:shd w:val="clear" w:color="auto" w:fill="auto"/>
            <w:hideMark/>
          </w:tcPr>
          <w:p w14:paraId="0E9B1F05" w14:textId="77777777" w:rsidR="00C51605" w:rsidRPr="00C51605" w:rsidRDefault="00C51605" w:rsidP="00A201D8">
            <w:pPr>
              <w:pStyle w:val="DHHStabletext"/>
              <w:spacing w:before="0" w:after="0"/>
              <w:rPr>
                <w:lang w:eastAsia="en-AU"/>
              </w:rPr>
            </w:pPr>
            <w:r w:rsidRPr="00C51605">
              <w:rPr>
                <w:lang w:eastAsia="en-AU"/>
              </w:rPr>
              <w:t>Primary Health Network </w:t>
            </w:r>
          </w:p>
        </w:tc>
        <w:tc>
          <w:tcPr>
            <w:tcW w:w="2835" w:type="dxa"/>
            <w:shd w:val="clear" w:color="auto" w:fill="auto"/>
            <w:hideMark/>
          </w:tcPr>
          <w:p w14:paraId="7001B026"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0BCF8E87"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65AF4C8C" w14:textId="77777777" w:rsidTr="00717ED8">
        <w:trPr>
          <w:trHeight w:val="345"/>
        </w:trPr>
        <w:tc>
          <w:tcPr>
            <w:tcW w:w="5946" w:type="dxa"/>
            <w:shd w:val="clear" w:color="auto" w:fill="auto"/>
            <w:hideMark/>
          </w:tcPr>
          <w:p w14:paraId="50738EBE" w14:textId="77777777" w:rsidR="00C51605" w:rsidRPr="00C51605" w:rsidRDefault="00C51605" w:rsidP="00A201D8">
            <w:pPr>
              <w:pStyle w:val="DHHStabletext"/>
              <w:spacing w:before="0" w:after="0"/>
              <w:rPr>
                <w:lang w:eastAsia="en-AU"/>
              </w:rPr>
            </w:pPr>
            <w:r w:rsidRPr="00C51605">
              <w:rPr>
                <w:lang w:eastAsia="en-AU"/>
              </w:rPr>
              <w:t>Primary Care Partnership </w:t>
            </w:r>
          </w:p>
        </w:tc>
        <w:tc>
          <w:tcPr>
            <w:tcW w:w="2835" w:type="dxa"/>
            <w:shd w:val="clear" w:color="auto" w:fill="auto"/>
            <w:hideMark/>
          </w:tcPr>
          <w:p w14:paraId="7C37EACF"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0837F499"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5168D9D8" w14:textId="77777777" w:rsidTr="00717ED8">
        <w:trPr>
          <w:trHeight w:val="345"/>
        </w:trPr>
        <w:tc>
          <w:tcPr>
            <w:tcW w:w="5946" w:type="dxa"/>
            <w:shd w:val="clear" w:color="auto" w:fill="auto"/>
            <w:hideMark/>
          </w:tcPr>
          <w:p w14:paraId="11189531" w14:textId="77777777" w:rsidR="00C51605" w:rsidRPr="00C51605" w:rsidRDefault="00C51605" w:rsidP="00A201D8">
            <w:pPr>
              <w:pStyle w:val="DHHStabletext"/>
              <w:spacing w:before="0" w:after="0"/>
              <w:rPr>
                <w:lang w:eastAsia="en-AU"/>
              </w:rPr>
            </w:pPr>
            <w:r w:rsidRPr="00C51605">
              <w:rPr>
                <w:lang w:eastAsia="en-AU"/>
              </w:rPr>
              <w:t>CALD representative organisation </w:t>
            </w:r>
          </w:p>
        </w:tc>
        <w:tc>
          <w:tcPr>
            <w:tcW w:w="2835" w:type="dxa"/>
            <w:shd w:val="clear" w:color="auto" w:fill="auto"/>
            <w:hideMark/>
          </w:tcPr>
          <w:p w14:paraId="772035B7"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29B9A12C" w14:textId="77777777" w:rsidR="00C51605" w:rsidRPr="00C51605" w:rsidRDefault="00C51605" w:rsidP="00A201D8">
            <w:pPr>
              <w:pStyle w:val="DHHStabletext"/>
              <w:spacing w:before="0" w:after="0"/>
              <w:rPr>
                <w:lang w:eastAsia="en-AU"/>
              </w:rPr>
            </w:pPr>
            <w:r w:rsidRPr="00C51605">
              <w:rPr>
                <w:lang w:eastAsia="en-AU"/>
              </w:rPr>
              <w:t> </w:t>
            </w:r>
          </w:p>
        </w:tc>
      </w:tr>
      <w:tr w:rsidR="00C51605" w:rsidRPr="00C51605" w14:paraId="1B0A9EA5" w14:textId="77777777" w:rsidTr="00717ED8">
        <w:trPr>
          <w:trHeight w:val="723"/>
        </w:trPr>
        <w:tc>
          <w:tcPr>
            <w:tcW w:w="5946" w:type="dxa"/>
            <w:shd w:val="clear" w:color="auto" w:fill="auto"/>
            <w:hideMark/>
          </w:tcPr>
          <w:p w14:paraId="3E7A0A89" w14:textId="77777777" w:rsidR="00C51605" w:rsidRPr="00C51605" w:rsidRDefault="00C51605" w:rsidP="00A201D8">
            <w:pPr>
              <w:pStyle w:val="DHHStabletext"/>
              <w:spacing w:before="0" w:after="0"/>
              <w:rPr>
                <w:lang w:eastAsia="en-AU"/>
              </w:rPr>
            </w:pPr>
            <w:r w:rsidRPr="00C51605">
              <w:rPr>
                <w:lang w:eastAsia="en-AU"/>
              </w:rPr>
              <w:t>Aboriginal and Torres Strait Islander representative organisation </w:t>
            </w:r>
          </w:p>
        </w:tc>
        <w:tc>
          <w:tcPr>
            <w:tcW w:w="2835" w:type="dxa"/>
            <w:shd w:val="clear" w:color="auto" w:fill="auto"/>
            <w:hideMark/>
          </w:tcPr>
          <w:p w14:paraId="6AF30627" w14:textId="77777777" w:rsidR="00C51605" w:rsidRPr="00C51605" w:rsidRDefault="00C51605" w:rsidP="00A201D8">
            <w:pPr>
              <w:pStyle w:val="DHHStabletext"/>
              <w:spacing w:before="0" w:after="0"/>
              <w:rPr>
                <w:lang w:eastAsia="en-AU"/>
              </w:rPr>
            </w:pPr>
            <w:r w:rsidRPr="00C51605">
              <w:rPr>
                <w:lang w:eastAsia="en-AU"/>
              </w:rPr>
              <w:t> </w:t>
            </w:r>
          </w:p>
        </w:tc>
        <w:tc>
          <w:tcPr>
            <w:tcW w:w="1569" w:type="dxa"/>
            <w:shd w:val="clear" w:color="auto" w:fill="auto"/>
            <w:hideMark/>
          </w:tcPr>
          <w:p w14:paraId="084004F3" w14:textId="77777777" w:rsidR="00C51605" w:rsidRPr="00C51605" w:rsidRDefault="00C51605" w:rsidP="00A201D8">
            <w:pPr>
              <w:pStyle w:val="DHHStabletext"/>
              <w:spacing w:before="0" w:after="0"/>
              <w:rPr>
                <w:lang w:eastAsia="en-AU"/>
              </w:rPr>
            </w:pPr>
            <w:r w:rsidRPr="00C51605">
              <w:rPr>
                <w:lang w:eastAsia="en-AU"/>
              </w:rPr>
              <w:t> </w:t>
            </w:r>
          </w:p>
        </w:tc>
      </w:tr>
    </w:tbl>
    <w:p w14:paraId="0174D48C" w14:textId="77777777" w:rsidR="00C51605" w:rsidRPr="00A201D8" w:rsidRDefault="00C51605" w:rsidP="00A201D8">
      <w:pPr>
        <w:pStyle w:val="DHHSbody"/>
      </w:pPr>
      <w:r w:rsidRPr="00A201D8">
        <w:t>* Individuals may be co-opted to the group as appropriate to provide expert knowledge and address issues. </w:t>
      </w:r>
    </w:p>
    <w:p w14:paraId="0499BF40" w14:textId="77777777" w:rsidR="00C51605" w:rsidRPr="00BD4FF7" w:rsidRDefault="00C51605" w:rsidP="00574F9E">
      <w:pPr>
        <w:pStyle w:val="Heading3"/>
        <w:rPr>
          <w:rFonts w:ascii="Segoe UI" w:hAnsi="Segoe UI" w:cs="Segoe UI"/>
          <w:lang w:eastAsia="en-AU"/>
        </w:rPr>
      </w:pPr>
      <w:r w:rsidRPr="00BD4FF7">
        <w:rPr>
          <w:lang w:val="it-IT" w:eastAsia="en-AU"/>
        </w:rPr>
        <w:lastRenderedPageBreak/>
        <w:t>Group tenure</w:t>
      </w:r>
      <w:r w:rsidRPr="00BD4FF7">
        <w:rPr>
          <w:lang w:eastAsia="en-AU"/>
        </w:rPr>
        <w:t> </w:t>
      </w:r>
    </w:p>
    <w:p w14:paraId="61CC40AC" w14:textId="49AC0CD5" w:rsidR="00C51605" w:rsidRDefault="00C51605" w:rsidP="00A201D8">
      <w:pPr>
        <w:pStyle w:val="DHHSbody"/>
        <w:rPr>
          <w:b/>
          <w:bCs/>
          <w:color w:val="201547"/>
          <w:sz w:val="24"/>
          <w:szCs w:val="24"/>
          <w:lang w:eastAsia="en-AU"/>
        </w:rPr>
      </w:pPr>
      <w:r w:rsidRPr="00BD4FF7">
        <w:rPr>
          <w:lang w:eastAsia="en-AU"/>
        </w:rPr>
        <w:t>The tenure of the group begins from 16 April 2021 to 30 June 2021. Any extension will be decided by the department and is subject to review.  </w:t>
      </w:r>
    </w:p>
    <w:p w14:paraId="73D9E1D2" w14:textId="77777777" w:rsidR="00C51605" w:rsidRPr="00BD4FF7" w:rsidRDefault="00C51605" w:rsidP="00574F9E">
      <w:pPr>
        <w:pStyle w:val="Heading3"/>
        <w:rPr>
          <w:rFonts w:ascii="Segoe UI" w:hAnsi="Segoe UI" w:cs="Segoe UI"/>
          <w:lang w:eastAsia="en-AU"/>
        </w:rPr>
      </w:pPr>
      <w:r w:rsidRPr="00BD4FF7">
        <w:rPr>
          <w:lang w:eastAsia="en-AU"/>
        </w:rPr>
        <w:t>Meeting frequency </w:t>
      </w:r>
    </w:p>
    <w:p w14:paraId="40F03B01" w14:textId="68752BA1" w:rsidR="00C51605" w:rsidRPr="00A201D8" w:rsidRDefault="00C51605" w:rsidP="00A201D8">
      <w:pPr>
        <w:pStyle w:val="DHHSbody"/>
      </w:pPr>
      <w:r w:rsidRPr="00A201D8">
        <w:t>The group will meet monthly. Meeting frequency and scheduling is subject to change following review and agreement by members. Such review may be discussed during a meeting or out of session.  </w:t>
      </w:r>
    </w:p>
    <w:p w14:paraId="5B147904" w14:textId="77777777" w:rsidR="00C51605" w:rsidRPr="00A201D8" w:rsidRDefault="00C51605" w:rsidP="00574F9E">
      <w:pPr>
        <w:pStyle w:val="Heading3"/>
      </w:pPr>
      <w:r w:rsidRPr="00A201D8">
        <w:t>Meeting venue </w:t>
      </w:r>
    </w:p>
    <w:p w14:paraId="58CD7061" w14:textId="7217C109" w:rsidR="00C51605" w:rsidRPr="007C6BF6" w:rsidRDefault="00C51605" w:rsidP="007C6BF6">
      <w:pPr>
        <w:pStyle w:val="DHHSbody"/>
      </w:pPr>
      <w:r w:rsidRPr="007C6BF6">
        <w:t>Meetings will be held online. The meeting link will be sent out by the Secretariat.  </w:t>
      </w:r>
    </w:p>
    <w:p w14:paraId="5C5D122D" w14:textId="77777777" w:rsidR="00C51605" w:rsidRPr="007C6BF6" w:rsidRDefault="00C51605" w:rsidP="00574F9E">
      <w:pPr>
        <w:pStyle w:val="Heading3"/>
      </w:pPr>
      <w:r w:rsidRPr="007C6BF6">
        <w:t>Meeting agenda, action log and papers </w:t>
      </w:r>
    </w:p>
    <w:p w14:paraId="069D54E5" w14:textId="145578A6" w:rsidR="00C51605" w:rsidRPr="007C6BF6" w:rsidRDefault="00C51605" w:rsidP="007C6BF6">
      <w:pPr>
        <w:pStyle w:val="DHHSbody"/>
      </w:pPr>
      <w:r w:rsidRPr="007C6BF6">
        <w:t>The Secretariat will provide the meeting agenda, action log and papers three business days prior to the meeting. </w:t>
      </w:r>
    </w:p>
    <w:p w14:paraId="5CCE78A2" w14:textId="45B91273" w:rsidR="00C51605" w:rsidRPr="00BD4FF7" w:rsidRDefault="00C51605" w:rsidP="00574F9E">
      <w:pPr>
        <w:pStyle w:val="Heading3"/>
        <w:rPr>
          <w:rFonts w:ascii="Segoe UI" w:hAnsi="Segoe UI" w:cs="Segoe UI"/>
          <w:lang w:eastAsia="en-AU"/>
        </w:rPr>
      </w:pPr>
      <w:r w:rsidRPr="00BD4FF7">
        <w:rPr>
          <w:lang w:eastAsia="en-AU"/>
        </w:rPr>
        <w:t>Out-of-session papers</w:t>
      </w:r>
    </w:p>
    <w:p w14:paraId="4E9C9588" w14:textId="3B9558E4" w:rsidR="00C51605" w:rsidRDefault="00C51605" w:rsidP="007C6BF6">
      <w:pPr>
        <w:pStyle w:val="DHHSbody"/>
        <w:rPr>
          <w:b/>
          <w:bCs/>
          <w:color w:val="201547"/>
          <w:sz w:val="24"/>
          <w:szCs w:val="24"/>
          <w:lang w:eastAsia="en-AU"/>
        </w:rPr>
      </w:pPr>
      <w:r w:rsidRPr="00BD4FF7">
        <w:rPr>
          <w:lang w:eastAsia="en-AU"/>
        </w:rPr>
        <w:t>When an issue arises that, in the opinion of the Chair, requires provision or resolution by the group before the next scheduled meeting, the Chair may seek to provide an out-of-session paper.</w:t>
      </w:r>
    </w:p>
    <w:p w14:paraId="6821739F" w14:textId="77777777" w:rsidR="00C51605" w:rsidRPr="00BD4FF7" w:rsidRDefault="00C51605" w:rsidP="00574F9E">
      <w:pPr>
        <w:pStyle w:val="Heading3"/>
        <w:rPr>
          <w:rFonts w:ascii="Segoe UI" w:hAnsi="Segoe UI" w:cs="Segoe UI"/>
          <w:lang w:eastAsia="en-AU"/>
        </w:rPr>
      </w:pPr>
      <w:r w:rsidRPr="00BD4FF7">
        <w:rPr>
          <w:lang w:eastAsia="en-AU"/>
        </w:rPr>
        <w:t>Confidentiality </w:t>
      </w:r>
    </w:p>
    <w:p w14:paraId="2CF28B3A" w14:textId="24A6E5B5" w:rsidR="00C51605" w:rsidRDefault="00C51605" w:rsidP="007C6BF6">
      <w:pPr>
        <w:pStyle w:val="DHHSbody"/>
        <w:rPr>
          <w:b/>
          <w:bCs/>
          <w:color w:val="201547"/>
          <w:sz w:val="24"/>
          <w:szCs w:val="24"/>
          <w:lang w:eastAsia="en-AU"/>
        </w:rPr>
      </w:pPr>
      <w:r w:rsidRPr="00BD4FF7">
        <w:rPr>
          <w:lang w:eastAsia="en-AU"/>
        </w:rPr>
        <w:t>All papers are to be treated as confidential and should not be circulated beyond members</w:t>
      </w:r>
      <w:r w:rsidRPr="00BD4FF7">
        <w:rPr>
          <w:rFonts w:eastAsia="MS Gothic"/>
          <w:lang w:eastAsia="en-AU"/>
        </w:rPr>
        <w:t>’</w:t>
      </w:r>
      <w:r w:rsidRPr="00BD4FF7">
        <w:rPr>
          <w:lang w:eastAsia="en-AU"/>
        </w:rPr>
        <w:t> organisations</w:t>
      </w:r>
      <w:r w:rsidRPr="00BD4FF7">
        <w:rPr>
          <w:szCs w:val="21"/>
          <w:lang w:eastAsia="en-AU"/>
        </w:rPr>
        <w:t>. </w:t>
      </w:r>
    </w:p>
    <w:p w14:paraId="6FD40017" w14:textId="77777777" w:rsidR="00C51605" w:rsidRPr="00BD4FF7" w:rsidRDefault="00C51605" w:rsidP="00574F9E">
      <w:pPr>
        <w:pStyle w:val="Heading3"/>
        <w:rPr>
          <w:rFonts w:ascii="Segoe UI" w:hAnsi="Segoe UI" w:cs="Segoe UI"/>
          <w:lang w:eastAsia="en-AU"/>
        </w:rPr>
      </w:pPr>
      <w:r w:rsidRPr="00BD4FF7">
        <w:rPr>
          <w:lang w:eastAsia="en-AU"/>
        </w:rPr>
        <w:t>Seniority </w:t>
      </w:r>
    </w:p>
    <w:p w14:paraId="32702A37" w14:textId="31C729D8" w:rsidR="00C51605" w:rsidRPr="00076F33" w:rsidRDefault="00C51605" w:rsidP="00076F33">
      <w:pPr>
        <w:pStyle w:val="DHHSbody"/>
      </w:pPr>
      <w:r w:rsidRPr="00076F33">
        <w:t>Membership is for Chief Executive Officers, senior executives or their delegate. </w:t>
      </w:r>
    </w:p>
    <w:p w14:paraId="14104A76" w14:textId="77777777" w:rsidR="00C51605" w:rsidRPr="007C6BF6" w:rsidRDefault="00C51605" w:rsidP="00574F9E">
      <w:pPr>
        <w:pStyle w:val="Heading3"/>
      </w:pPr>
      <w:r w:rsidRPr="007C6BF6">
        <w:t>Proxy </w:t>
      </w:r>
    </w:p>
    <w:p w14:paraId="7846512B" w14:textId="664F134F" w:rsidR="00C51605" w:rsidRDefault="00C51605" w:rsidP="00076F33">
      <w:pPr>
        <w:pStyle w:val="DHHSbody"/>
        <w:rPr>
          <w:b/>
          <w:bCs/>
          <w:color w:val="201547"/>
          <w:sz w:val="24"/>
          <w:szCs w:val="24"/>
          <w:lang w:eastAsia="en-AU"/>
        </w:rPr>
      </w:pPr>
      <w:r w:rsidRPr="00BD4FF7">
        <w:rPr>
          <w:lang w:eastAsia="en-AU"/>
        </w:rPr>
        <w:t>Members are required to notify the Secretariat when there is an intention for a proxy or substitute to represent the member at any </w:t>
      </w:r>
      <w:r w:rsidRPr="00BD4FF7">
        <w:rPr>
          <w:lang w:val="it-IT" w:eastAsia="en-AU"/>
        </w:rPr>
        <w:t>meeting</w:t>
      </w:r>
      <w:r w:rsidRPr="00BD4FF7">
        <w:rPr>
          <w:lang w:eastAsia="en-AU"/>
        </w:rPr>
        <w:t> or to undertake any delegate role or responsibility. </w:t>
      </w:r>
    </w:p>
    <w:p w14:paraId="3CA4D323" w14:textId="77777777" w:rsidR="00C51605" w:rsidRPr="00BD4FF7" w:rsidRDefault="00C51605" w:rsidP="00574F9E">
      <w:pPr>
        <w:pStyle w:val="Heading3"/>
        <w:rPr>
          <w:rFonts w:ascii="Segoe UI" w:hAnsi="Segoe UI" w:cs="Segoe UI"/>
          <w:lang w:eastAsia="en-AU"/>
        </w:rPr>
      </w:pPr>
      <w:r w:rsidRPr="00BD4FF7">
        <w:rPr>
          <w:lang w:eastAsia="en-AU"/>
        </w:rPr>
        <w:t>Declaration of conflict of interest </w:t>
      </w:r>
    </w:p>
    <w:p w14:paraId="5750A078" w14:textId="02A4AE8C" w:rsidR="00C51605" w:rsidRDefault="00C51605" w:rsidP="00076F33">
      <w:pPr>
        <w:pStyle w:val="DHHSbody"/>
        <w:rPr>
          <w:b/>
          <w:bCs/>
          <w:color w:val="201547"/>
          <w:sz w:val="24"/>
          <w:szCs w:val="24"/>
          <w:lang w:eastAsia="en-AU"/>
        </w:rPr>
      </w:pPr>
      <w:r w:rsidRPr="00BD4FF7">
        <w:rPr>
          <w:lang w:eastAsia="en-AU"/>
        </w:rPr>
        <w:t>Members must declare any conflict of interest during the standing items agenda item at the start of any meeting or as soon as they become aware of the conflict of interest.  </w:t>
      </w:r>
    </w:p>
    <w:p w14:paraId="4B28F7FB" w14:textId="77777777" w:rsidR="00C51605" w:rsidRPr="00BD4FF7" w:rsidRDefault="00C51605" w:rsidP="00574F9E">
      <w:pPr>
        <w:pStyle w:val="Heading3"/>
        <w:rPr>
          <w:rFonts w:ascii="Segoe UI" w:hAnsi="Segoe UI" w:cs="Segoe UI"/>
          <w:lang w:eastAsia="en-AU"/>
        </w:rPr>
      </w:pPr>
      <w:r w:rsidRPr="00BD4FF7">
        <w:rPr>
          <w:lang w:eastAsia="en-AU"/>
        </w:rPr>
        <w:t>Sitting fee and travel reimbursement </w:t>
      </w:r>
    </w:p>
    <w:p w14:paraId="045B4450" w14:textId="02C8D31B" w:rsidR="00C51605" w:rsidRDefault="00C51605" w:rsidP="00076F33">
      <w:pPr>
        <w:pStyle w:val="DHHSbody"/>
        <w:rPr>
          <w:b/>
          <w:bCs/>
          <w:color w:val="201547"/>
          <w:sz w:val="24"/>
          <w:szCs w:val="24"/>
          <w:lang w:eastAsia="en-AU"/>
        </w:rPr>
      </w:pPr>
      <w:r w:rsidRPr="00BD4FF7">
        <w:rPr>
          <w:lang w:eastAsia="en-AU"/>
        </w:rPr>
        <w:t>All paid employees of an organisation will be attending as representatives of their organisation and as such, will not receive payment or reimbursement. </w:t>
      </w:r>
    </w:p>
    <w:p w14:paraId="3C5865BD" w14:textId="77777777" w:rsidR="00C51605" w:rsidRPr="00BD4FF7" w:rsidRDefault="00C51605" w:rsidP="00574F9E">
      <w:pPr>
        <w:pStyle w:val="Heading3"/>
        <w:rPr>
          <w:rFonts w:ascii="Segoe UI" w:hAnsi="Segoe UI" w:cs="Segoe UI"/>
          <w:lang w:eastAsia="en-AU"/>
        </w:rPr>
      </w:pPr>
      <w:r w:rsidRPr="00BD4FF7">
        <w:rPr>
          <w:lang w:eastAsia="en-AU"/>
        </w:rPr>
        <w:t>Secretariat </w:t>
      </w:r>
    </w:p>
    <w:p w14:paraId="12D1FD7B" w14:textId="6D5766A9" w:rsidR="00C51605" w:rsidRPr="00076F33" w:rsidRDefault="00C51605" w:rsidP="00076F33">
      <w:pPr>
        <w:pStyle w:val="DHHSbody"/>
      </w:pPr>
      <w:r w:rsidRPr="00076F33">
        <w:t>Secretariat support will be provided by the Catchment Lead Provider.  </w:t>
      </w:r>
    </w:p>
    <w:p w14:paraId="1CF6058B" w14:textId="77777777" w:rsidR="00C51605" w:rsidRPr="00BD4FF7" w:rsidRDefault="00C51605" w:rsidP="00574F9E">
      <w:pPr>
        <w:pStyle w:val="Heading3"/>
        <w:rPr>
          <w:rFonts w:ascii="Segoe UI" w:hAnsi="Segoe UI" w:cs="Segoe UI"/>
          <w:lang w:eastAsia="en-AU"/>
        </w:rPr>
      </w:pPr>
      <w:r w:rsidRPr="00BD4FF7">
        <w:rPr>
          <w:lang w:eastAsia="en-AU"/>
        </w:rPr>
        <w:t>Contact details</w:t>
      </w:r>
      <w:r w:rsidRPr="00BD4FF7">
        <w:rPr>
          <w:rFonts w:ascii="Calibri" w:hAnsi="Calibri" w:cs="Calibri"/>
          <w:lang w:eastAsia="en-AU"/>
        </w:rPr>
        <w:t xml:space="preserve"> </w:t>
      </w:r>
      <w:r w:rsidRPr="00BD4FF7">
        <w:rPr>
          <w:lang w:eastAsia="en-AU"/>
        </w:rPr>
        <w:t> </w:t>
      </w:r>
    </w:p>
    <w:p w14:paraId="253F5F45" w14:textId="77777777" w:rsidR="00C51605" w:rsidRPr="00076F33" w:rsidRDefault="00C51605" w:rsidP="00076F33">
      <w:pPr>
        <w:pStyle w:val="DHHSbody"/>
        <w:rPr>
          <w:rStyle w:val="Strong"/>
        </w:rPr>
      </w:pPr>
      <w:r w:rsidRPr="00076F33">
        <w:rPr>
          <w:rStyle w:val="Strong"/>
        </w:rPr>
        <w:t>Secretariat  </w:t>
      </w:r>
    </w:p>
    <w:p w14:paraId="0B368F45" w14:textId="77777777" w:rsidR="00C51605" w:rsidRPr="00BD4FF7" w:rsidRDefault="00C51605" w:rsidP="00076F33">
      <w:pPr>
        <w:pStyle w:val="DHHSbody"/>
        <w:rPr>
          <w:rFonts w:ascii="Segoe UI" w:hAnsi="Segoe UI" w:cs="Segoe UI"/>
          <w:sz w:val="18"/>
          <w:szCs w:val="18"/>
          <w:lang w:eastAsia="en-AU"/>
        </w:rPr>
      </w:pPr>
      <w:r w:rsidRPr="00BD4FF7">
        <w:rPr>
          <w:lang w:eastAsia="en-AU"/>
        </w:rPr>
        <w:lastRenderedPageBreak/>
        <w:t>HRAR Catchment Leadership Group </w:t>
      </w:r>
    </w:p>
    <w:p w14:paraId="4722FC31" w14:textId="77777777" w:rsidR="00C51605" w:rsidRPr="00BD4FF7" w:rsidRDefault="00C51605" w:rsidP="00076F33">
      <w:pPr>
        <w:pStyle w:val="DHHSbody"/>
        <w:rPr>
          <w:rFonts w:ascii="Segoe UI" w:hAnsi="Segoe UI" w:cs="Segoe UI"/>
          <w:sz w:val="18"/>
          <w:szCs w:val="18"/>
          <w:lang w:eastAsia="en-AU"/>
        </w:rPr>
      </w:pPr>
      <w:r w:rsidRPr="00BD4FF7">
        <w:rPr>
          <w:lang w:eastAsia="en-AU"/>
        </w:rPr>
        <w:t>Catchment Lead Provider </w:t>
      </w:r>
    </w:p>
    <w:p w14:paraId="2431D17F" w14:textId="77777777" w:rsidR="00C51605" w:rsidRPr="00BD4FF7" w:rsidRDefault="00C51605" w:rsidP="00076F33">
      <w:pPr>
        <w:pStyle w:val="DHHSbody"/>
        <w:rPr>
          <w:rFonts w:ascii="Segoe UI" w:hAnsi="Segoe UI" w:cs="Segoe UI"/>
          <w:sz w:val="18"/>
          <w:szCs w:val="18"/>
          <w:lang w:eastAsia="en-AU"/>
        </w:rPr>
      </w:pPr>
      <w:r w:rsidRPr="00BD4FF7">
        <w:rPr>
          <w:lang w:eastAsia="en-AU"/>
        </w:rPr>
        <w:t>Email:  </w:t>
      </w:r>
    </w:p>
    <w:p w14:paraId="083FAF0F" w14:textId="77777777" w:rsidR="00076F33" w:rsidRDefault="00076F33">
      <w:pPr>
        <w:spacing w:after="0" w:line="240" w:lineRule="auto"/>
        <w:rPr>
          <w:rFonts w:cs="Arial"/>
          <w:b/>
          <w:bCs/>
          <w:color w:val="201547"/>
          <w:sz w:val="24"/>
          <w:szCs w:val="24"/>
          <w:u w:val="single"/>
          <w:lang w:eastAsia="en-AU"/>
        </w:rPr>
      </w:pPr>
      <w:r>
        <w:rPr>
          <w:rFonts w:cs="Arial"/>
          <w:b/>
          <w:bCs/>
          <w:color w:val="201547"/>
          <w:sz w:val="24"/>
          <w:szCs w:val="24"/>
          <w:u w:val="single"/>
          <w:lang w:eastAsia="en-AU"/>
        </w:rPr>
        <w:br w:type="page"/>
      </w:r>
    </w:p>
    <w:p w14:paraId="5E31E366" w14:textId="3799F9CB" w:rsidR="00C51605" w:rsidRPr="00384990" w:rsidRDefault="00384990" w:rsidP="009376ED">
      <w:pPr>
        <w:pStyle w:val="Heading3"/>
      </w:pPr>
      <w:r w:rsidRPr="00384990">
        <w:lastRenderedPageBreak/>
        <w:t>Agenda template and minutes</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6"/>
      </w:tblGrid>
      <w:tr w:rsidR="00C51605" w:rsidRPr="00881965" w14:paraId="7F346BB3" w14:textId="77777777" w:rsidTr="000C7BCD">
        <w:trPr>
          <w:trHeight w:val="232"/>
        </w:trPr>
        <w:tc>
          <w:tcPr>
            <w:tcW w:w="9356" w:type="dxa"/>
            <w:tcBorders>
              <w:top w:val="nil"/>
              <w:left w:val="nil"/>
              <w:bottom w:val="nil"/>
              <w:right w:val="nil"/>
            </w:tcBorders>
            <w:shd w:val="clear" w:color="auto" w:fill="auto"/>
            <w:vAlign w:val="bottom"/>
            <w:hideMark/>
          </w:tcPr>
          <w:p w14:paraId="47B17DD0" w14:textId="77777777" w:rsidR="00C51605" w:rsidRPr="00881965" w:rsidRDefault="00C51605" w:rsidP="00076F33">
            <w:pPr>
              <w:pStyle w:val="Heading5"/>
              <w:rPr>
                <w:rFonts w:ascii="Segoe UI" w:hAnsi="Segoe UI" w:cs="Segoe UI"/>
                <w:lang w:eastAsia="en-AU"/>
              </w:rPr>
            </w:pPr>
            <w:r w:rsidRPr="00076F33">
              <w:rPr>
                <w:i/>
                <w:iCs w:val="0"/>
                <w:lang w:eastAsia="en-AU"/>
              </w:rPr>
              <w:t>&lt;insert catchment name&gt;</w:t>
            </w:r>
            <w:r w:rsidRPr="00881965">
              <w:rPr>
                <w:lang w:eastAsia="en-AU"/>
              </w:rPr>
              <w:t> Leadership Group  </w:t>
            </w:r>
          </w:p>
        </w:tc>
      </w:tr>
      <w:tr w:rsidR="00C51605" w:rsidRPr="00881965" w14:paraId="24A3540E" w14:textId="77777777" w:rsidTr="000C7BCD">
        <w:trPr>
          <w:trHeight w:val="291"/>
        </w:trPr>
        <w:tc>
          <w:tcPr>
            <w:tcW w:w="9356" w:type="dxa"/>
            <w:tcBorders>
              <w:top w:val="nil"/>
              <w:left w:val="nil"/>
              <w:bottom w:val="nil"/>
              <w:right w:val="nil"/>
            </w:tcBorders>
            <w:shd w:val="clear" w:color="auto" w:fill="auto"/>
            <w:hideMark/>
          </w:tcPr>
          <w:p w14:paraId="1914BBC0" w14:textId="77777777" w:rsidR="00C51605" w:rsidRPr="00076F33" w:rsidRDefault="00C51605" w:rsidP="009376ED">
            <w:pPr>
              <w:pStyle w:val="Heading4"/>
            </w:pPr>
            <w:r w:rsidRPr="00076F33">
              <w:t>Meeting agenda </w:t>
            </w:r>
          </w:p>
          <w:p w14:paraId="4B7362D5" w14:textId="77777777" w:rsidR="00C51605" w:rsidRPr="00881965" w:rsidRDefault="00C51605" w:rsidP="00C51605">
            <w:pPr>
              <w:textAlignment w:val="baseline"/>
              <w:rPr>
                <w:rFonts w:ascii="Segoe UI" w:hAnsi="Segoe UI" w:cs="Segoe UI"/>
                <w:color w:val="201547"/>
                <w:sz w:val="18"/>
                <w:szCs w:val="18"/>
                <w:lang w:eastAsia="en-AU"/>
              </w:rPr>
            </w:pPr>
            <w:r w:rsidRPr="00881965">
              <w:rPr>
                <w:rFonts w:cs="Arial"/>
                <w:b/>
                <w:bCs/>
                <w:color w:val="000000"/>
                <w:shd w:val="clear" w:color="auto" w:fill="E1E3E6"/>
                <w:lang w:eastAsia="en-AU"/>
              </w:rPr>
              <w:t>OFFICIAL</w:t>
            </w:r>
            <w:r w:rsidRPr="00881965">
              <w:rPr>
                <w:rFonts w:cs="Arial"/>
                <w:color w:val="201547"/>
                <w:lang w:eastAsia="en-AU"/>
              </w:rPr>
              <w:t> </w:t>
            </w:r>
          </w:p>
        </w:tc>
      </w:tr>
    </w:tbl>
    <w:p w14:paraId="2B330623" w14:textId="77777777" w:rsidR="00C51605" w:rsidRPr="009376ED" w:rsidRDefault="00C51605" w:rsidP="00F37BD2">
      <w:pPr>
        <w:pStyle w:val="Heading4"/>
      </w:pPr>
      <w:r w:rsidRPr="009376ED">
        <w:t>Meeting overview </w:t>
      </w:r>
    </w:p>
    <w:tbl>
      <w:tblPr>
        <w:tblW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bottom w:w="28" w:type="dxa"/>
          <w:right w:w="85" w:type="dxa"/>
        </w:tblCellMar>
        <w:tblLook w:val="04A0" w:firstRow="1" w:lastRow="0" w:firstColumn="1" w:lastColumn="0" w:noHBand="0" w:noVBand="1"/>
        <w:tblCaption w:val="Meeting agenda template"/>
      </w:tblPr>
      <w:tblGrid>
        <w:gridCol w:w="1695"/>
        <w:gridCol w:w="8490"/>
      </w:tblGrid>
      <w:tr w:rsidR="00C51605" w:rsidRPr="00322EE1" w14:paraId="0F134ACB" w14:textId="77777777" w:rsidTr="00717ED8">
        <w:tc>
          <w:tcPr>
            <w:tcW w:w="1695" w:type="dxa"/>
            <w:shd w:val="clear" w:color="auto" w:fill="auto"/>
            <w:hideMark/>
          </w:tcPr>
          <w:p w14:paraId="5F7F297B" w14:textId="77777777" w:rsidR="00C51605" w:rsidRPr="00076F33" w:rsidRDefault="00C51605" w:rsidP="00076F33">
            <w:pPr>
              <w:pStyle w:val="DHHSbody"/>
              <w:rPr>
                <w:rStyle w:val="Strong"/>
              </w:rPr>
            </w:pPr>
            <w:r w:rsidRPr="00076F33">
              <w:rPr>
                <w:rStyle w:val="Strong"/>
              </w:rPr>
              <w:t>Time and date </w:t>
            </w:r>
          </w:p>
        </w:tc>
        <w:tc>
          <w:tcPr>
            <w:tcW w:w="8490" w:type="dxa"/>
            <w:shd w:val="clear" w:color="auto" w:fill="auto"/>
            <w:hideMark/>
          </w:tcPr>
          <w:p w14:paraId="2C673970" w14:textId="77777777" w:rsidR="00C51605" w:rsidRPr="00322EE1" w:rsidRDefault="00C51605" w:rsidP="00076F33">
            <w:pPr>
              <w:pStyle w:val="DHHStabletext"/>
              <w:rPr>
                <w:rFonts w:ascii="Times New Roman" w:hAnsi="Times New Roman"/>
                <w:lang w:eastAsia="en-AU"/>
              </w:rPr>
            </w:pPr>
            <w:r w:rsidRPr="00322EE1">
              <w:rPr>
                <w:lang w:eastAsia="en-AU"/>
              </w:rPr>
              <w:t> </w:t>
            </w:r>
          </w:p>
        </w:tc>
      </w:tr>
      <w:tr w:rsidR="00C51605" w:rsidRPr="00322EE1" w14:paraId="058726D8" w14:textId="77777777" w:rsidTr="00717ED8">
        <w:tc>
          <w:tcPr>
            <w:tcW w:w="1695" w:type="dxa"/>
            <w:shd w:val="clear" w:color="auto" w:fill="auto"/>
            <w:hideMark/>
          </w:tcPr>
          <w:p w14:paraId="7228FDB3" w14:textId="77777777" w:rsidR="00C51605" w:rsidRPr="00076F33" w:rsidRDefault="00C51605" w:rsidP="00076F33">
            <w:pPr>
              <w:pStyle w:val="DHHSbody"/>
              <w:rPr>
                <w:rStyle w:val="Strong"/>
              </w:rPr>
            </w:pPr>
            <w:r w:rsidRPr="00076F33">
              <w:rPr>
                <w:rStyle w:val="Strong"/>
              </w:rPr>
              <w:t>Chairperson </w:t>
            </w:r>
          </w:p>
        </w:tc>
        <w:tc>
          <w:tcPr>
            <w:tcW w:w="8490" w:type="dxa"/>
            <w:shd w:val="clear" w:color="auto" w:fill="auto"/>
            <w:hideMark/>
          </w:tcPr>
          <w:p w14:paraId="29999F75" w14:textId="77777777" w:rsidR="00C51605" w:rsidRPr="00322EE1" w:rsidRDefault="00C51605" w:rsidP="00076F33">
            <w:pPr>
              <w:pStyle w:val="DHHStabletext"/>
              <w:rPr>
                <w:rFonts w:ascii="Times New Roman" w:hAnsi="Times New Roman"/>
                <w:lang w:eastAsia="en-AU"/>
              </w:rPr>
            </w:pPr>
            <w:r w:rsidRPr="00322EE1">
              <w:rPr>
                <w:lang w:eastAsia="en-AU"/>
              </w:rPr>
              <w:t>CEO Lead Provider </w:t>
            </w:r>
          </w:p>
        </w:tc>
      </w:tr>
      <w:tr w:rsidR="00C51605" w:rsidRPr="00322EE1" w14:paraId="307BFA60" w14:textId="77777777" w:rsidTr="00717ED8">
        <w:tc>
          <w:tcPr>
            <w:tcW w:w="1695" w:type="dxa"/>
            <w:shd w:val="clear" w:color="auto" w:fill="auto"/>
            <w:hideMark/>
          </w:tcPr>
          <w:p w14:paraId="2CE9F00E" w14:textId="77777777" w:rsidR="00C51605" w:rsidRPr="00076F33" w:rsidRDefault="00C51605" w:rsidP="00076F33">
            <w:pPr>
              <w:pStyle w:val="DHHSbody"/>
              <w:rPr>
                <w:rStyle w:val="Strong"/>
              </w:rPr>
            </w:pPr>
            <w:r w:rsidRPr="00076F33">
              <w:rPr>
                <w:rStyle w:val="Strong"/>
              </w:rPr>
              <w:t>Location </w:t>
            </w:r>
          </w:p>
        </w:tc>
        <w:tc>
          <w:tcPr>
            <w:tcW w:w="8490" w:type="dxa"/>
            <w:shd w:val="clear" w:color="auto" w:fill="auto"/>
            <w:hideMark/>
          </w:tcPr>
          <w:p w14:paraId="25AB1CC8" w14:textId="77777777" w:rsidR="00C51605" w:rsidRPr="00322EE1" w:rsidRDefault="00C51605" w:rsidP="00076F33">
            <w:pPr>
              <w:pStyle w:val="DHHStabletext"/>
              <w:rPr>
                <w:rFonts w:ascii="Times New Roman" w:hAnsi="Times New Roman"/>
                <w:lang w:eastAsia="en-AU"/>
              </w:rPr>
            </w:pPr>
            <w:r w:rsidRPr="00322EE1">
              <w:rPr>
                <w:lang w:eastAsia="en-AU"/>
              </w:rPr>
              <w:t> </w:t>
            </w:r>
          </w:p>
        </w:tc>
      </w:tr>
      <w:tr w:rsidR="00C51605" w:rsidRPr="00322EE1" w14:paraId="225F2CA4" w14:textId="77777777" w:rsidTr="00717ED8">
        <w:tc>
          <w:tcPr>
            <w:tcW w:w="1695" w:type="dxa"/>
            <w:shd w:val="clear" w:color="auto" w:fill="auto"/>
            <w:hideMark/>
          </w:tcPr>
          <w:p w14:paraId="1F4106EC" w14:textId="77777777" w:rsidR="00C51605" w:rsidRPr="00076F33" w:rsidRDefault="00C51605" w:rsidP="00076F33">
            <w:pPr>
              <w:pStyle w:val="DHHSbody"/>
              <w:rPr>
                <w:rStyle w:val="Strong"/>
              </w:rPr>
            </w:pPr>
            <w:r w:rsidRPr="00076F33">
              <w:rPr>
                <w:rStyle w:val="Strong"/>
              </w:rPr>
              <w:t>Attendees </w:t>
            </w:r>
          </w:p>
        </w:tc>
        <w:tc>
          <w:tcPr>
            <w:tcW w:w="8490" w:type="dxa"/>
            <w:shd w:val="clear" w:color="auto" w:fill="auto"/>
            <w:hideMark/>
          </w:tcPr>
          <w:p w14:paraId="1CB3619B" w14:textId="77777777" w:rsidR="00C51605" w:rsidRPr="00322EE1" w:rsidRDefault="00C51605" w:rsidP="00076F33">
            <w:pPr>
              <w:pStyle w:val="DHHStabletext"/>
              <w:rPr>
                <w:rFonts w:ascii="Times New Roman" w:hAnsi="Times New Roman"/>
                <w:lang w:eastAsia="en-AU"/>
              </w:rPr>
            </w:pPr>
            <w:r w:rsidRPr="00322EE1">
              <w:rPr>
                <w:lang w:eastAsia="en-AU"/>
              </w:rPr>
              <w:t>Lead Provider, CEO (Chair) </w:t>
            </w:r>
          </w:p>
          <w:p w14:paraId="28B430EE" w14:textId="77777777" w:rsidR="00C51605" w:rsidRPr="00322EE1" w:rsidRDefault="00C51605" w:rsidP="00076F33">
            <w:pPr>
              <w:pStyle w:val="DHHStabletext"/>
              <w:rPr>
                <w:rFonts w:ascii="Times New Roman" w:hAnsi="Times New Roman"/>
                <w:lang w:eastAsia="en-AU"/>
              </w:rPr>
            </w:pPr>
            <w:r w:rsidRPr="00322EE1">
              <w:rPr>
                <w:lang w:eastAsia="en-AU"/>
              </w:rPr>
              <w:t>Lead Provider, HRAR Manager </w:t>
            </w:r>
          </w:p>
          <w:p w14:paraId="23C5E817" w14:textId="77777777" w:rsidR="00C51605" w:rsidRPr="00322EE1" w:rsidRDefault="00C51605" w:rsidP="00076F33">
            <w:pPr>
              <w:pStyle w:val="DHHStabletext"/>
              <w:rPr>
                <w:rFonts w:ascii="Times New Roman" w:hAnsi="Times New Roman"/>
                <w:lang w:eastAsia="en-AU"/>
              </w:rPr>
            </w:pPr>
            <w:r w:rsidRPr="00322EE1">
              <w:rPr>
                <w:lang w:eastAsia="en-AU"/>
              </w:rPr>
              <w:t>Director, HRAR &lt;insert Division&gt;, Department of Families, Fairness and Housing,  </w:t>
            </w:r>
          </w:p>
          <w:p w14:paraId="7A6574B9" w14:textId="77777777" w:rsidR="00C51605" w:rsidRPr="00322EE1" w:rsidRDefault="00C51605" w:rsidP="00076F33">
            <w:pPr>
              <w:pStyle w:val="DHHStabletext"/>
              <w:rPr>
                <w:rFonts w:ascii="Times New Roman" w:hAnsi="Times New Roman"/>
                <w:lang w:eastAsia="en-AU"/>
              </w:rPr>
            </w:pPr>
            <w:r w:rsidRPr="00322EE1">
              <w:rPr>
                <w:lang w:eastAsia="en-AU"/>
              </w:rPr>
              <w:t>Manager HRAR COVID Lead, Department of Families, Fairness and Housing,  </w:t>
            </w:r>
          </w:p>
          <w:p w14:paraId="213BCA28" w14:textId="77777777" w:rsidR="00C51605" w:rsidRPr="00076F33" w:rsidRDefault="00C51605" w:rsidP="00076F33">
            <w:pPr>
              <w:pStyle w:val="DHHStabletext"/>
            </w:pPr>
            <w:r w:rsidRPr="00076F33">
              <w:rPr>
                <w:rStyle w:val="Strong"/>
              </w:rPr>
              <w:t>Representatives from:</w:t>
            </w:r>
            <w:r w:rsidRPr="00076F33">
              <w:t> </w:t>
            </w:r>
            <w:r w:rsidRPr="00076F33">
              <w:rPr>
                <w:i/>
                <w:iCs/>
              </w:rPr>
              <w:t>&lt;suggestions not exhaustive&gt;</w:t>
            </w:r>
            <w:r w:rsidRPr="00076F33">
              <w:t> </w:t>
            </w:r>
          </w:p>
          <w:p w14:paraId="0DC71835" w14:textId="77777777" w:rsidR="00C51605" w:rsidRPr="00322EE1" w:rsidRDefault="00C51605" w:rsidP="00076F33">
            <w:pPr>
              <w:pStyle w:val="DHHStabletext"/>
              <w:rPr>
                <w:rFonts w:ascii="Times New Roman" w:hAnsi="Times New Roman"/>
                <w:lang w:eastAsia="en-AU"/>
              </w:rPr>
            </w:pPr>
            <w:r w:rsidRPr="00322EE1">
              <w:rPr>
                <w:lang w:eastAsia="en-AU"/>
              </w:rPr>
              <w:t>Client Support and Housing Services, Department of Families, Fairness and Housing  </w:t>
            </w:r>
          </w:p>
          <w:p w14:paraId="29F85B28" w14:textId="77777777" w:rsidR="00C51605" w:rsidRPr="00322EE1" w:rsidRDefault="00C51605" w:rsidP="00076F33">
            <w:pPr>
              <w:pStyle w:val="DHHStabletext"/>
              <w:rPr>
                <w:rFonts w:ascii="Times New Roman" w:hAnsi="Times New Roman"/>
                <w:lang w:eastAsia="en-AU"/>
              </w:rPr>
            </w:pPr>
            <w:r w:rsidRPr="00322EE1">
              <w:rPr>
                <w:lang w:eastAsia="en-AU"/>
              </w:rPr>
              <w:t>Community Services, Department of Justice and Community Safety </w:t>
            </w:r>
          </w:p>
          <w:p w14:paraId="37CDE652" w14:textId="77777777" w:rsidR="00C51605" w:rsidRPr="00322EE1" w:rsidRDefault="00C51605" w:rsidP="00076F33">
            <w:pPr>
              <w:pStyle w:val="DHHStabletext"/>
              <w:rPr>
                <w:rFonts w:ascii="Times New Roman" w:hAnsi="Times New Roman"/>
                <w:lang w:eastAsia="en-AU"/>
              </w:rPr>
            </w:pPr>
            <w:r w:rsidRPr="00322EE1">
              <w:rPr>
                <w:lang w:eastAsia="en-AU"/>
              </w:rPr>
              <w:t>Local Public Health Unit </w:t>
            </w:r>
            <w:r w:rsidRPr="00322EE1">
              <w:rPr>
                <w:rFonts w:ascii="Calibri" w:hAnsi="Calibri" w:cs="Calibri"/>
                <w:lang w:eastAsia="en-AU"/>
              </w:rPr>
              <w:t xml:space="preserve"> </w:t>
            </w:r>
            <w:r w:rsidRPr="00322EE1">
              <w:rPr>
                <w:lang w:eastAsia="en-AU"/>
              </w:rPr>
              <w:t> </w:t>
            </w:r>
          </w:p>
          <w:p w14:paraId="7109BAFE" w14:textId="77777777" w:rsidR="00C51605" w:rsidRPr="00322EE1" w:rsidRDefault="00C51605" w:rsidP="00076F33">
            <w:pPr>
              <w:pStyle w:val="DHHStabletext"/>
              <w:rPr>
                <w:rFonts w:ascii="Times New Roman" w:hAnsi="Times New Roman"/>
                <w:lang w:eastAsia="en-AU"/>
              </w:rPr>
            </w:pPr>
            <w:r w:rsidRPr="00322EE1">
              <w:rPr>
                <w:lang w:eastAsia="en-AU"/>
              </w:rPr>
              <w:t>Local Public Health Service</w:t>
            </w:r>
            <w:r w:rsidRPr="00322EE1">
              <w:rPr>
                <w:rFonts w:ascii="Calibri" w:hAnsi="Calibri" w:cs="Calibri"/>
                <w:lang w:eastAsia="en-AU"/>
              </w:rPr>
              <w:t xml:space="preserve"> </w:t>
            </w:r>
            <w:r w:rsidRPr="00322EE1">
              <w:rPr>
                <w:lang w:eastAsia="en-AU"/>
              </w:rPr>
              <w:t> </w:t>
            </w:r>
          </w:p>
          <w:p w14:paraId="1D578EFF" w14:textId="77777777" w:rsidR="00C51605" w:rsidRPr="00322EE1" w:rsidRDefault="00C51605" w:rsidP="00076F33">
            <w:pPr>
              <w:pStyle w:val="DHHStabletext"/>
              <w:rPr>
                <w:rFonts w:ascii="Times New Roman" w:hAnsi="Times New Roman"/>
                <w:lang w:eastAsia="en-AU"/>
              </w:rPr>
            </w:pPr>
            <w:r w:rsidRPr="00322EE1">
              <w:rPr>
                <w:lang w:eastAsia="en-AU"/>
              </w:rPr>
              <w:t>Local Public Health Cluster</w:t>
            </w:r>
            <w:r w:rsidRPr="00322EE1">
              <w:rPr>
                <w:rFonts w:ascii="Calibri" w:hAnsi="Calibri" w:cs="Calibri"/>
                <w:lang w:eastAsia="en-AU"/>
              </w:rPr>
              <w:t xml:space="preserve"> </w:t>
            </w:r>
            <w:r w:rsidRPr="00322EE1">
              <w:rPr>
                <w:lang w:eastAsia="en-AU"/>
              </w:rPr>
              <w:t> </w:t>
            </w:r>
          </w:p>
          <w:p w14:paraId="431595B1" w14:textId="77777777" w:rsidR="00C51605" w:rsidRPr="00322EE1" w:rsidRDefault="00C51605" w:rsidP="00076F33">
            <w:pPr>
              <w:pStyle w:val="DHHStabletext"/>
              <w:rPr>
                <w:rFonts w:ascii="Times New Roman" w:hAnsi="Times New Roman"/>
                <w:lang w:eastAsia="en-AU"/>
              </w:rPr>
            </w:pPr>
            <w:r w:rsidRPr="00322EE1">
              <w:rPr>
                <w:lang w:eastAsia="en-AU"/>
              </w:rPr>
              <w:t>Community Services</w:t>
            </w:r>
            <w:r w:rsidRPr="00322EE1">
              <w:rPr>
                <w:rFonts w:ascii="Calibri" w:hAnsi="Calibri" w:cs="Calibri"/>
                <w:lang w:eastAsia="en-AU"/>
              </w:rPr>
              <w:t xml:space="preserve"> </w:t>
            </w:r>
            <w:r w:rsidRPr="00322EE1">
              <w:rPr>
                <w:lang w:eastAsia="en-AU"/>
              </w:rPr>
              <w:t> </w:t>
            </w:r>
          </w:p>
          <w:p w14:paraId="2E1C84F6" w14:textId="77777777" w:rsidR="00C51605" w:rsidRPr="00322EE1" w:rsidRDefault="00C51605" w:rsidP="00076F33">
            <w:pPr>
              <w:pStyle w:val="DHHStabletext"/>
              <w:rPr>
                <w:rFonts w:ascii="Times New Roman" w:hAnsi="Times New Roman"/>
                <w:lang w:eastAsia="en-AU"/>
              </w:rPr>
            </w:pPr>
            <w:r w:rsidRPr="00322EE1">
              <w:rPr>
                <w:lang w:eastAsia="en-AU"/>
              </w:rPr>
              <w:t>Local Government</w:t>
            </w:r>
            <w:r w:rsidRPr="00322EE1">
              <w:rPr>
                <w:rFonts w:ascii="Calibri" w:hAnsi="Calibri" w:cs="Calibri"/>
                <w:lang w:eastAsia="en-AU"/>
              </w:rPr>
              <w:t xml:space="preserve"> </w:t>
            </w:r>
            <w:r w:rsidRPr="00322EE1">
              <w:rPr>
                <w:lang w:eastAsia="en-AU"/>
              </w:rPr>
              <w:t> </w:t>
            </w:r>
          </w:p>
          <w:p w14:paraId="1725AD28" w14:textId="77777777" w:rsidR="00C51605" w:rsidRPr="00322EE1" w:rsidRDefault="00C51605" w:rsidP="00076F33">
            <w:pPr>
              <w:pStyle w:val="DHHStabletext"/>
              <w:rPr>
                <w:rFonts w:ascii="Times New Roman" w:hAnsi="Times New Roman"/>
                <w:lang w:eastAsia="en-AU"/>
              </w:rPr>
            </w:pPr>
            <w:r w:rsidRPr="00322EE1">
              <w:rPr>
                <w:lang w:eastAsia="en-AU"/>
              </w:rPr>
              <w:t>Local Commonwealth Disability Liaison Officer</w:t>
            </w:r>
            <w:r w:rsidRPr="00322EE1">
              <w:rPr>
                <w:rFonts w:ascii="Calibri" w:hAnsi="Calibri" w:cs="Calibri"/>
                <w:lang w:eastAsia="en-AU"/>
              </w:rPr>
              <w:t xml:space="preserve"> </w:t>
            </w:r>
            <w:r w:rsidRPr="00322EE1">
              <w:rPr>
                <w:lang w:eastAsia="en-AU"/>
              </w:rPr>
              <w:t> </w:t>
            </w:r>
          </w:p>
          <w:p w14:paraId="1B709E91" w14:textId="77777777" w:rsidR="00C51605" w:rsidRPr="00322EE1" w:rsidRDefault="00C51605" w:rsidP="00076F33">
            <w:pPr>
              <w:pStyle w:val="DHHStabletext"/>
              <w:rPr>
                <w:rFonts w:ascii="Times New Roman" w:hAnsi="Times New Roman"/>
                <w:lang w:eastAsia="en-AU"/>
              </w:rPr>
            </w:pPr>
            <w:r w:rsidRPr="00322EE1">
              <w:rPr>
                <w:lang w:eastAsia="en-AU"/>
              </w:rPr>
              <w:t>Primary Health Network</w:t>
            </w:r>
            <w:r w:rsidRPr="00322EE1">
              <w:rPr>
                <w:rFonts w:ascii="Calibri" w:hAnsi="Calibri" w:cs="Calibri"/>
                <w:lang w:eastAsia="en-AU"/>
              </w:rPr>
              <w:t xml:space="preserve"> </w:t>
            </w:r>
            <w:r w:rsidRPr="00322EE1">
              <w:rPr>
                <w:lang w:eastAsia="en-AU"/>
              </w:rPr>
              <w:t> </w:t>
            </w:r>
          </w:p>
          <w:p w14:paraId="4A7FDBA5" w14:textId="77777777" w:rsidR="00C51605" w:rsidRPr="00322EE1" w:rsidRDefault="00C51605" w:rsidP="00076F33">
            <w:pPr>
              <w:pStyle w:val="DHHStabletext"/>
              <w:rPr>
                <w:rFonts w:ascii="Times New Roman" w:hAnsi="Times New Roman"/>
                <w:lang w:eastAsia="en-AU"/>
              </w:rPr>
            </w:pPr>
            <w:r w:rsidRPr="00322EE1">
              <w:rPr>
                <w:lang w:eastAsia="en-AU"/>
              </w:rPr>
              <w:t>Primary Care Partnership</w:t>
            </w:r>
            <w:r w:rsidRPr="00322EE1">
              <w:rPr>
                <w:rFonts w:ascii="Calibri" w:hAnsi="Calibri" w:cs="Calibri"/>
                <w:lang w:eastAsia="en-AU"/>
              </w:rPr>
              <w:t xml:space="preserve"> </w:t>
            </w:r>
            <w:r w:rsidRPr="00322EE1">
              <w:rPr>
                <w:lang w:eastAsia="en-AU"/>
              </w:rPr>
              <w:t> </w:t>
            </w:r>
          </w:p>
          <w:p w14:paraId="261A20E9" w14:textId="77777777" w:rsidR="00C51605" w:rsidRPr="00322EE1" w:rsidRDefault="00C51605" w:rsidP="00076F33">
            <w:pPr>
              <w:pStyle w:val="DHHStabletext"/>
              <w:rPr>
                <w:rFonts w:ascii="Times New Roman" w:hAnsi="Times New Roman"/>
                <w:lang w:eastAsia="en-AU"/>
              </w:rPr>
            </w:pPr>
            <w:r w:rsidRPr="00322EE1">
              <w:rPr>
                <w:lang w:eastAsia="en-AU"/>
              </w:rPr>
              <w:t>CALD representative organisation </w:t>
            </w:r>
          </w:p>
          <w:p w14:paraId="536D478F" w14:textId="77777777" w:rsidR="00C51605" w:rsidRPr="00322EE1" w:rsidRDefault="00C51605" w:rsidP="00076F33">
            <w:pPr>
              <w:pStyle w:val="DHHStabletext"/>
              <w:rPr>
                <w:rFonts w:ascii="Times New Roman" w:hAnsi="Times New Roman"/>
                <w:lang w:eastAsia="en-AU"/>
              </w:rPr>
            </w:pPr>
            <w:r w:rsidRPr="00322EE1">
              <w:rPr>
                <w:lang w:eastAsia="en-AU"/>
              </w:rPr>
              <w:t>Aboriginal and Torres Strait Islander representative organisation</w:t>
            </w:r>
            <w:r w:rsidRPr="00322EE1">
              <w:rPr>
                <w:rFonts w:ascii="Calibri" w:hAnsi="Calibri" w:cs="Calibri"/>
                <w:lang w:eastAsia="en-AU"/>
              </w:rPr>
              <w:t xml:space="preserve"> </w:t>
            </w:r>
            <w:r w:rsidRPr="00322EE1">
              <w:rPr>
                <w:lang w:eastAsia="en-AU"/>
              </w:rPr>
              <w:t> </w:t>
            </w:r>
          </w:p>
        </w:tc>
      </w:tr>
      <w:tr w:rsidR="00C51605" w:rsidRPr="00322EE1" w14:paraId="2F0C7F80" w14:textId="77777777" w:rsidTr="00717ED8">
        <w:tc>
          <w:tcPr>
            <w:tcW w:w="1695" w:type="dxa"/>
            <w:shd w:val="clear" w:color="auto" w:fill="auto"/>
            <w:hideMark/>
          </w:tcPr>
          <w:p w14:paraId="38405470" w14:textId="77777777" w:rsidR="00C51605" w:rsidRPr="00076F33" w:rsidRDefault="00C51605" w:rsidP="00076F33">
            <w:pPr>
              <w:pStyle w:val="DHHSbody"/>
              <w:rPr>
                <w:rStyle w:val="Strong"/>
              </w:rPr>
            </w:pPr>
            <w:r w:rsidRPr="00076F33">
              <w:rPr>
                <w:rStyle w:val="Strong"/>
              </w:rPr>
              <w:t>Apologies </w:t>
            </w:r>
          </w:p>
        </w:tc>
        <w:tc>
          <w:tcPr>
            <w:tcW w:w="8490" w:type="dxa"/>
            <w:shd w:val="clear" w:color="auto" w:fill="auto"/>
            <w:hideMark/>
          </w:tcPr>
          <w:p w14:paraId="16F423C2" w14:textId="77777777" w:rsidR="00C51605" w:rsidRPr="00322EE1" w:rsidRDefault="00C51605" w:rsidP="00C51605">
            <w:pPr>
              <w:textAlignment w:val="baseline"/>
              <w:rPr>
                <w:rFonts w:ascii="Times New Roman" w:hAnsi="Times New Roman"/>
                <w:lang w:eastAsia="en-AU"/>
              </w:rPr>
            </w:pPr>
            <w:r w:rsidRPr="00322EE1">
              <w:rPr>
                <w:rFonts w:cs="Arial"/>
                <w:lang w:eastAsia="en-AU"/>
              </w:rPr>
              <w:t> </w:t>
            </w:r>
          </w:p>
        </w:tc>
      </w:tr>
      <w:tr w:rsidR="00C51605" w:rsidRPr="00322EE1" w14:paraId="477DBF01" w14:textId="77777777" w:rsidTr="00717ED8">
        <w:tc>
          <w:tcPr>
            <w:tcW w:w="1695" w:type="dxa"/>
            <w:shd w:val="clear" w:color="auto" w:fill="auto"/>
            <w:hideMark/>
          </w:tcPr>
          <w:p w14:paraId="0D8429EB" w14:textId="77777777" w:rsidR="00C51605" w:rsidRPr="00076F33" w:rsidRDefault="00C51605" w:rsidP="00076F33">
            <w:pPr>
              <w:pStyle w:val="DHHSbody"/>
              <w:rPr>
                <w:rStyle w:val="Strong"/>
              </w:rPr>
            </w:pPr>
            <w:r w:rsidRPr="00076F33">
              <w:rPr>
                <w:rStyle w:val="Strong"/>
              </w:rPr>
              <w:t>Purpose </w:t>
            </w:r>
          </w:p>
        </w:tc>
        <w:tc>
          <w:tcPr>
            <w:tcW w:w="8490" w:type="dxa"/>
            <w:shd w:val="clear" w:color="auto" w:fill="auto"/>
            <w:hideMark/>
          </w:tcPr>
          <w:p w14:paraId="2248DCBD" w14:textId="77777777" w:rsidR="00C51605" w:rsidRPr="00322EE1" w:rsidRDefault="00C51605" w:rsidP="00076F33">
            <w:pPr>
              <w:pStyle w:val="DHHStabletext"/>
              <w:rPr>
                <w:rFonts w:ascii="Times New Roman" w:hAnsi="Times New Roman"/>
                <w:lang w:eastAsia="en-AU"/>
              </w:rPr>
            </w:pPr>
            <w:r w:rsidRPr="00322EE1">
              <w:rPr>
                <w:lang w:eastAsia="en-AU"/>
              </w:rPr>
              <w:t>To facilitate local area coordination and support of the five pillars of service delivery within the High-Risk Accommodation Response Extension: </w:t>
            </w:r>
          </w:p>
          <w:p w14:paraId="6048F342" w14:textId="77777777" w:rsidR="00C51605" w:rsidRPr="00322EE1" w:rsidRDefault="00C51605" w:rsidP="002853C2">
            <w:pPr>
              <w:pStyle w:val="Bullet1"/>
              <w:numPr>
                <w:ilvl w:val="0"/>
                <w:numId w:val="24"/>
              </w:numPr>
              <w:rPr>
                <w:lang w:eastAsia="en-AU"/>
              </w:rPr>
            </w:pPr>
            <w:r w:rsidRPr="00322EE1">
              <w:rPr>
                <w:lang w:eastAsia="en-AU"/>
              </w:rPr>
              <w:t xml:space="preserve">Catchment </w:t>
            </w:r>
            <w:r>
              <w:rPr>
                <w:lang w:eastAsia="en-AU"/>
              </w:rPr>
              <w:t>partnerships</w:t>
            </w:r>
            <w:r w:rsidRPr="00322EE1">
              <w:rPr>
                <w:lang w:eastAsia="en-AU"/>
              </w:rPr>
              <w:t> </w:t>
            </w:r>
          </w:p>
          <w:p w14:paraId="69A91872" w14:textId="77777777" w:rsidR="00C51605" w:rsidRPr="00322EE1" w:rsidRDefault="00C51605" w:rsidP="002853C2">
            <w:pPr>
              <w:pStyle w:val="Bullet1"/>
              <w:numPr>
                <w:ilvl w:val="0"/>
                <w:numId w:val="24"/>
              </w:numPr>
              <w:rPr>
                <w:lang w:eastAsia="en-AU"/>
              </w:rPr>
            </w:pPr>
            <w:r w:rsidRPr="00322EE1">
              <w:rPr>
                <w:lang w:eastAsia="en-AU"/>
              </w:rPr>
              <w:t>Community engagement </w:t>
            </w:r>
          </w:p>
          <w:p w14:paraId="171BB5B8" w14:textId="77777777" w:rsidR="00C51605" w:rsidRPr="00322EE1" w:rsidRDefault="00C51605" w:rsidP="002853C2">
            <w:pPr>
              <w:pStyle w:val="Bullet1"/>
              <w:numPr>
                <w:ilvl w:val="0"/>
                <w:numId w:val="24"/>
              </w:numPr>
              <w:rPr>
                <w:lang w:eastAsia="en-AU"/>
              </w:rPr>
            </w:pPr>
            <w:r w:rsidRPr="00322EE1">
              <w:rPr>
                <w:lang w:eastAsia="en-AU"/>
              </w:rPr>
              <w:t>Prevention and preparedness </w:t>
            </w:r>
          </w:p>
          <w:p w14:paraId="1D170154" w14:textId="77777777" w:rsidR="00C51605" w:rsidRPr="00322EE1" w:rsidRDefault="00C51605" w:rsidP="002853C2">
            <w:pPr>
              <w:pStyle w:val="Bullet1"/>
              <w:numPr>
                <w:ilvl w:val="0"/>
                <w:numId w:val="24"/>
              </w:numPr>
              <w:rPr>
                <w:lang w:eastAsia="en-AU"/>
              </w:rPr>
            </w:pPr>
            <w:r w:rsidRPr="00322EE1">
              <w:rPr>
                <w:lang w:eastAsia="en-AU"/>
              </w:rPr>
              <w:t>Active linkage to social supports </w:t>
            </w:r>
          </w:p>
          <w:p w14:paraId="169AB0CF" w14:textId="77777777" w:rsidR="00C51605" w:rsidRPr="00322EE1" w:rsidRDefault="00C51605" w:rsidP="002853C2">
            <w:pPr>
              <w:pStyle w:val="Bullet1"/>
              <w:numPr>
                <w:ilvl w:val="0"/>
                <w:numId w:val="24"/>
              </w:numPr>
              <w:rPr>
                <w:lang w:eastAsia="en-AU"/>
              </w:rPr>
            </w:pPr>
            <w:r w:rsidRPr="00322EE1">
              <w:rPr>
                <w:lang w:eastAsia="en-AU"/>
              </w:rPr>
              <w:t>Outbreak support. </w:t>
            </w:r>
          </w:p>
        </w:tc>
      </w:tr>
      <w:tr w:rsidR="00C51605" w:rsidRPr="00322EE1" w14:paraId="60D50B67" w14:textId="77777777" w:rsidTr="00717ED8">
        <w:tc>
          <w:tcPr>
            <w:tcW w:w="1695" w:type="dxa"/>
            <w:shd w:val="clear" w:color="auto" w:fill="auto"/>
            <w:hideMark/>
          </w:tcPr>
          <w:p w14:paraId="3E155FFB" w14:textId="77777777" w:rsidR="00C51605" w:rsidRPr="00076F33" w:rsidRDefault="00C51605" w:rsidP="00076F33">
            <w:pPr>
              <w:pStyle w:val="DHHSbody"/>
              <w:rPr>
                <w:rStyle w:val="Strong"/>
              </w:rPr>
            </w:pPr>
            <w:r w:rsidRPr="00076F33">
              <w:rPr>
                <w:rStyle w:val="Strong"/>
              </w:rPr>
              <w:t>Papers </w:t>
            </w:r>
          </w:p>
        </w:tc>
        <w:tc>
          <w:tcPr>
            <w:tcW w:w="8490" w:type="dxa"/>
            <w:shd w:val="clear" w:color="auto" w:fill="auto"/>
            <w:hideMark/>
          </w:tcPr>
          <w:p w14:paraId="550FF91F" w14:textId="77777777" w:rsidR="00C51605" w:rsidRPr="00322EE1" w:rsidRDefault="00C51605" w:rsidP="00C51605">
            <w:pPr>
              <w:textAlignment w:val="baseline"/>
              <w:rPr>
                <w:rFonts w:ascii="Times New Roman" w:hAnsi="Times New Roman"/>
                <w:lang w:eastAsia="en-AU"/>
              </w:rPr>
            </w:pPr>
            <w:r w:rsidRPr="00322EE1">
              <w:rPr>
                <w:rFonts w:cs="Arial"/>
                <w:lang w:eastAsia="en-AU"/>
              </w:rPr>
              <w:t> </w:t>
            </w:r>
          </w:p>
        </w:tc>
      </w:tr>
    </w:tbl>
    <w:p w14:paraId="5691344E" w14:textId="77777777" w:rsidR="00076F33" w:rsidRDefault="00076F33" w:rsidP="00C51605">
      <w:pPr>
        <w:textAlignment w:val="baseline"/>
        <w:rPr>
          <w:rFonts w:cs="Arial"/>
          <w:color w:val="201547"/>
          <w:sz w:val="24"/>
          <w:szCs w:val="24"/>
          <w:lang w:eastAsia="en-AU"/>
        </w:rPr>
      </w:pPr>
    </w:p>
    <w:p w14:paraId="1332343B" w14:textId="77777777" w:rsidR="00076F33" w:rsidRDefault="00076F33">
      <w:pPr>
        <w:spacing w:after="0" w:line="240" w:lineRule="auto"/>
        <w:rPr>
          <w:rFonts w:cs="Arial"/>
          <w:color w:val="201547"/>
          <w:sz w:val="24"/>
          <w:szCs w:val="24"/>
          <w:lang w:eastAsia="en-AU"/>
        </w:rPr>
      </w:pPr>
      <w:r>
        <w:rPr>
          <w:rFonts w:cs="Arial"/>
          <w:color w:val="201547"/>
          <w:sz w:val="24"/>
          <w:szCs w:val="24"/>
          <w:lang w:eastAsia="en-AU"/>
        </w:rPr>
        <w:br w:type="page"/>
      </w:r>
    </w:p>
    <w:p w14:paraId="4EAC5FB6" w14:textId="080A871D" w:rsidR="00C51605" w:rsidRPr="009376ED" w:rsidRDefault="00C51605" w:rsidP="00F37BD2">
      <w:pPr>
        <w:pStyle w:val="Heading4"/>
      </w:pPr>
      <w:r w:rsidRPr="009376ED">
        <w:lastRenderedPageBreak/>
        <w:t>Agenda items</w:t>
      </w:r>
    </w:p>
    <w:tbl>
      <w:tblPr>
        <w:tblW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bottom w:w="28" w:type="dxa"/>
          <w:right w:w="85" w:type="dxa"/>
        </w:tblCellMar>
        <w:tblLook w:val="04A0" w:firstRow="1" w:lastRow="0" w:firstColumn="1" w:lastColumn="0" w:noHBand="0" w:noVBand="1"/>
        <w:tblCaption w:val="Agenda items template"/>
      </w:tblPr>
      <w:tblGrid>
        <w:gridCol w:w="840"/>
        <w:gridCol w:w="1410"/>
        <w:gridCol w:w="6090"/>
        <w:gridCol w:w="1830"/>
      </w:tblGrid>
      <w:tr w:rsidR="00C51605" w:rsidRPr="00322EE1" w14:paraId="6CAB9A74" w14:textId="77777777" w:rsidTr="00717ED8">
        <w:tc>
          <w:tcPr>
            <w:tcW w:w="840" w:type="dxa"/>
            <w:shd w:val="clear" w:color="auto" w:fill="auto"/>
            <w:hideMark/>
          </w:tcPr>
          <w:p w14:paraId="45E0A31B" w14:textId="77777777" w:rsidR="00C51605" w:rsidRPr="00B2214E" w:rsidRDefault="00C51605" w:rsidP="005325AE">
            <w:pPr>
              <w:pStyle w:val="DHHStablecolhead"/>
            </w:pPr>
            <w:r w:rsidRPr="00B2214E">
              <w:t>No. </w:t>
            </w:r>
          </w:p>
        </w:tc>
        <w:tc>
          <w:tcPr>
            <w:tcW w:w="1410" w:type="dxa"/>
            <w:shd w:val="clear" w:color="auto" w:fill="auto"/>
            <w:hideMark/>
          </w:tcPr>
          <w:p w14:paraId="55DE226B" w14:textId="77777777" w:rsidR="00C51605" w:rsidRPr="00B2214E" w:rsidRDefault="00C51605" w:rsidP="005325AE">
            <w:pPr>
              <w:pStyle w:val="DHHStablecolhead"/>
            </w:pPr>
            <w:r w:rsidRPr="00B2214E">
              <w:t>Time </w:t>
            </w:r>
          </w:p>
        </w:tc>
        <w:tc>
          <w:tcPr>
            <w:tcW w:w="6090" w:type="dxa"/>
            <w:shd w:val="clear" w:color="auto" w:fill="auto"/>
            <w:hideMark/>
          </w:tcPr>
          <w:p w14:paraId="45DB3405" w14:textId="77777777" w:rsidR="00C51605" w:rsidRPr="00B2214E" w:rsidRDefault="00C51605" w:rsidP="005325AE">
            <w:pPr>
              <w:pStyle w:val="DHHStablecolhead"/>
            </w:pPr>
            <w:r w:rsidRPr="00B2214E">
              <w:t>Description </w:t>
            </w:r>
          </w:p>
        </w:tc>
        <w:tc>
          <w:tcPr>
            <w:tcW w:w="1830" w:type="dxa"/>
            <w:shd w:val="clear" w:color="auto" w:fill="auto"/>
            <w:hideMark/>
          </w:tcPr>
          <w:p w14:paraId="056772CB" w14:textId="77777777" w:rsidR="00C51605" w:rsidRPr="00B2214E" w:rsidRDefault="00C51605" w:rsidP="005325AE">
            <w:pPr>
              <w:pStyle w:val="DHHStablecolhead"/>
            </w:pPr>
            <w:r w:rsidRPr="00B2214E">
              <w:t>Presenter </w:t>
            </w:r>
          </w:p>
        </w:tc>
      </w:tr>
      <w:tr w:rsidR="00C51605" w:rsidRPr="00322EE1" w14:paraId="3A8DF742" w14:textId="77777777" w:rsidTr="00717ED8">
        <w:tc>
          <w:tcPr>
            <w:tcW w:w="840" w:type="dxa"/>
            <w:shd w:val="clear" w:color="auto" w:fill="auto"/>
            <w:hideMark/>
          </w:tcPr>
          <w:p w14:paraId="0E5143A3" w14:textId="77777777" w:rsidR="00C51605" w:rsidRPr="00B2214E" w:rsidRDefault="00C51605" w:rsidP="002853C2">
            <w:pPr>
              <w:numPr>
                <w:ilvl w:val="0"/>
                <w:numId w:val="7"/>
              </w:numPr>
              <w:spacing w:after="0" w:line="240" w:lineRule="auto"/>
              <w:ind w:left="0" w:firstLine="0"/>
              <w:textAlignment w:val="baseline"/>
              <w:rPr>
                <w:rFonts w:cs="Arial"/>
                <w:sz w:val="20"/>
                <w:lang w:eastAsia="en-AU"/>
              </w:rPr>
            </w:pPr>
          </w:p>
        </w:tc>
        <w:tc>
          <w:tcPr>
            <w:tcW w:w="1410" w:type="dxa"/>
            <w:shd w:val="clear" w:color="auto" w:fill="auto"/>
            <w:hideMark/>
          </w:tcPr>
          <w:p w14:paraId="5E9C827B"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3546805A" w14:textId="77777777" w:rsidR="00C51605" w:rsidRPr="00322EE1" w:rsidRDefault="00C51605" w:rsidP="00B2214E">
            <w:pPr>
              <w:pStyle w:val="DHHStabletext"/>
              <w:rPr>
                <w:lang w:eastAsia="en-AU"/>
              </w:rPr>
            </w:pPr>
            <w:r w:rsidRPr="00322EE1">
              <w:rPr>
                <w:lang w:eastAsia="en-AU"/>
              </w:rPr>
              <w:t>Acknowledgement of Country </w:t>
            </w:r>
          </w:p>
        </w:tc>
        <w:tc>
          <w:tcPr>
            <w:tcW w:w="1830" w:type="dxa"/>
            <w:shd w:val="clear" w:color="auto" w:fill="auto"/>
            <w:hideMark/>
          </w:tcPr>
          <w:p w14:paraId="6CB6C419" w14:textId="77777777" w:rsidR="00C51605" w:rsidRPr="00322EE1" w:rsidRDefault="00C51605" w:rsidP="00B2214E">
            <w:pPr>
              <w:pStyle w:val="DHHStabletext"/>
              <w:rPr>
                <w:lang w:eastAsia="en-AU"/>
              </w:rPr>
            </w:pPr>
            <w:r w:rsidRPr="00322EE1">
              <w:rPr>
                <w:lang w:eastAsia="en-AU"/>
              </w:rPr>
              <w:t>Chair </w:t>
            </w:r>
          </w:p>
        </w:tc>
      </w:tr>
      <w:tr w:rsidR="00C51605" w:rsidRPr="00322EE1" w14:paraId="0FC6796A" w14:textId="77777777" w:rsidTr="00717ED8">
        <w:tc>
          <w:tcPr>
            <w:tcW w:w="840" w:type="dxa"/>
            <w:shd w:val="clear" w:color="auto" w:fill="auto"/>
            <w:hideMark/>
          </w:tcPr>
          <w:p w14:paraId="73536256" w14:textId="77777777" w:rsidR="00C51605" w:rsidRPr="00B2214E" w:rsidRDefault="00C51605" w:rsidP="002853C2">
            <w:pPr>
              <w:numPr>
                <w:ilvl w:val="0"/>
                <w:numId w:val="8"/>
              </w:numPr>
              <w:spacing w:after="0" w:line="240" w:lineRule="auto"/>
              <w:ind w:left="0" w:firstLine="0"/>
              <w:jc w:val="center"/>
              <w:textAlignment w:val="baseline"/>
              <w:rPr>
                <w:rFonts w:cs="Arial"/>
                <w:sz w:val="20"/>
                <w:lang w:eastAsia="en-AU"/>
              </w:rPr>
            </w:pPr>
          </w:p>
        </w:tc>
        <w:tc>
          <w:tcPr>
            <w:tcW w:w="1410" w:type="dxa"/>
            <w:shd w:val="clear" w:color="auto" w:fill="auto"/>
            <w:hideMark/>
          </w:tcPr>
          <w:p w14:paraId="60F06265"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00FB9EED" w14:textId="77777777" w:rsidR="00C51605" w:rsidRPr="00322EE1" w:rsidRDefault="00C51605" w:rsidP="00B2214E">
            <w:pPr>
              <w:pStyle w:val="DHHStabletext"/>
              <w:rPr>
                <w:lang w:eastAsia="en-AU"/>
              </w:rPr>
            </w:pPr>
            <w:r w:rsidRPr="00322EE1">
              <w:rPr>
                <w:lang w:eastAsia="en-AU"/>
              </w:rPr>
              <w:t>Actions from previous meetings </w:t>
            </w:r>
          </w:p>
        </w:tc>
        <w:tc>
          <w:tcPr>
            <w:tcW w:w="1830" w:type="dxa"/>
            <w:shd w:val="clear" w:color="auto" w:fill="auto"/>
            <w:hideMark/>
          </w:tcPr>
          <w:p w14:paraId="500CA298" w14:textId="77777777" w:rsidR="00C51605" w:rsidRPr="00322EE1" w:rsidRDefault="00C51605" w:rsidP="00B2214E">
            <w:pPr>
              <w:pStyle w:val="DHHStabletext"/>
              <w:rPr>
                <w:lang w:eastAsia="en-AU"/>
              </w:rPr>
            </w:pPr>
            <w:r w:rsidRPr="00322EE1">
              <w:rPr>
                <w:lang w:eastAsia="en-AU"/>
              </w:rPr>
              <w:t>Chair </w:t>
            </w:r>
          </w:p>
        </w:tc>
      </w:tr>
      <w:tr w:rsidR="00C51605" w:rsidRPr="00322EE1" w14:paraId="35EACAB0" w14:textId="77777777" w:rsidTr="00717ED8">
        <w:tc>
          <w:tcPr>
            <w:tcW w:w="840" w:type="dxa"/>
            <w:shd w:val="clear" w:color="auto" w:fill="auto"/>
            <w:hideMark/>
          </w:tcPr>
          <w:p w14:paraId="4C2C8E6E" w14:textId="77777777" w:rsidR="00C51605" w:rsidRPr="00B2214E" w:rsidRDefault="00C51605" w:rsidP="002853C2">
            <w:pPr>
              <w:numPr>
                <w:ilvl w:val="0"/>
                <w:numId w:val="9"/>
              </w:numPr>
              <w:spacing w:after="0" w:line="240" w:lineRule="auto"/>
              <w:ind w:left="0" w:firstLine="0"/>
              <w:jc w:val="center"/>
              <w:textAlignment w:val="baseline"/>
              <w:rPr>
                <w:rFonts w:cs="Arial"/>
                <w:sz w:val="20"/>
                <w:lang w:eastAsia="en-AU"/>
              </w:rPr>
            </w:pPr>
          </w:p>
        </w:tc>
        <w:tc>
          <w:tcPr>
            <w:tcW w:w="1410" w:type="dxa"/>
            <w:shd w:val="clear" w:color="auto" w:fill="auto"/>
            <w:hideMark/>
          </w:tcPr>
          <w:p w14:paraId="6460F145"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7614BFB3" w14:textId="77777777" w:rsidR="00C51605" w:rsidRPr="00322EE1" w:rsidRDefault="00C51605" w:rsidP="00B2214E">
            <w:pPr>
              <w:pStyle w:val="DHHStabletext"/>
              <w:rPr>
                <w:lang w:eastAsia="en-AU"/>
              </w:rPr>
            </w:pPr>
            <w:r w:rsidRPr="00322EE1">
              <w:rPr>
                <w:lang w:eastAsia="en-AU"/>
              </w:rPr>
              <w:t xml:space="preserve">Catchment </w:t>
            </w:r>
            <w:r>
              <w:rPr>
                <w:lang w:eastAsia="en-AU"/>
              </w:rPr>
              <w:t>partnerships</w:t>
            </w:r>
            <w:r w:rsidRPr="00322EE1">
              <w:rPr>
                <w:lang w:eastAsia="en-AU"/>
              </w:rPr>
              <w:t>: </w:t>
            </w:r>
          </w:p>
          <w:p w14:paraId="150B3BDA" w14:textId="77777777" w:rsidR="00C51605" w:rsidRPr="00B2214E" w:rsidRDefault="00C51605" w:rsidP="00B2214E">
            <w:pPr>
              <w:pStyle w:val="Bullet1"/>
            </w:pPr>
            <w:r w:rsidRPr="00B2214E">
              <w:t>Changes to master list </w:t>
            </w:r>
          </w:p>
          <w:p w14:paraId="6B03DD8E" w14:textId="77777777" w:rsidR="00C51605" w:rsidRPr="00B2214E" w:rsidRDefault="00C51605" w:rsidP="00B2214E">
            <w:pPr>
              <w:pStyle w:val="Bullet1"/>
            </w:pPr>
            <w:r w:rsidRPr="00B2214E">
              <w:t>Changes to risk profile </w:t>
            </w:r>
          </w:p>
          <w:p w14:paraId="0E5775BE" w14:textId="77777777" w:rsidR="00C51605" w:rsidRPr="00322EE1" w:rsidRDefault="00C51605" w:rsidP="00B2214E">
            <w:pPr>
              <w:pStyle w:val="Bullet1"/>
              <w:rPr>
                <w:lang w:eastAsia="en-AU"/>
              </w:rPr>
            </w:pPr>
            <w:r w:rsidRPr="00B2214E">
              <w:t>Other catchment matters</w:t>
            </w:r>
            <w:r w:rsidRPr="00322EE1">
              <w:rPr>
                <w:lang w:eastAsia="en-AU"/>
              </w:rPr>
              <w:t> </w:t>
            </w:r>
          </w:p>
        </w:tc>
        <w:tc>
          <w:tcPr>
            <w:tcW w:w="1830" w:type="dxa"/>
            <w:shd w:val="clear" w:color="auto" w:fill="auto"/>
            <w:hideMark/>
          </w:tcPr>
          <w:p w14:paraId="4C4CB5E4" w14:textId="77777777" w:rsidR="00C51605" w:rsidRPr="00322EE1" w:rsidRDefault="00C51605" w:rsidP="00B2214E">
            <w:pPr>
              <w:pStyle w:val="DHHStabletext"/>
              <w:rPr>
                <w:lang w:eastAsia="en-AU"/>
              </w:rPr>
            </w:pPr>
            <w:r w:rsidRPr="00322EE1">
              <w:rPr>
                <w:lang w:eastAsia="en-AU"/>
              </w:rPr>
              <w:t>All </w:t>
            </w:r>
          </w:p>
        </w:tc>
      </w:tr>
      <w:tr w:rsidR="00C51605" w:rsidRPr="00322EE1" w14:paraId="16CC6B49" w14:textId="77777777" w:rsidTr="00717ED8">
        <w:tc>
          <w:tcPr>
            <w:tcW w:w="840" w:type="dxa"/>
            <w:shd w:val="clear" w:color="auto" w:fill="auto"/>
            <w:hideMark/>
          </w:tcPr>
          <w:p w14:paraId="0B6E9A22" w14:textId="77777777" w:rsidR="00C51605" w:rsidRPr="00B2214E" w:rsidRDefault="00C51605" w:rsidP="002853C2">
            <w:pPr>
              <w:numPr>
                <w:ilvl w:val="0"/>
                <w:numId w:val="10"/>
              </w:numPr>
              <w:spacing w:after="0" w:line="240" w:lineRule="auto"/>
              <w:ind w:left="0" w:firstLine="0"/>
              <w:jc w:val="center"/>
              <w:textAlignment w:val="baseline"/>
              <w:rPr>
                <w:rFonts w:cs="Arial"/>
                <w:sz w:val="20"/>
                <w:lang w:eastAsia="en-AU"/>
              </w:rPr>
            </w:pPr>
          </w:p>
        </w:tc>
        <w:tc>
          <w:tcPr>
            <w:tcW w:w="1410" w:type="dxa"/>
            <w:shd w:val="clear" w:color="auto" w:fill="auto"/>
            <w:hideMark/>
          </w:tcPr>
          <w:p w14:paraId="2D1BB5D0"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1B1AAD87" w14:textId="77777777" w:rsidR="00C51605" w:rsidRPr="00B2214E" w:rsidRDefault="00C51605" w:rsidP="00B2214E">
            <w:pPr>
              <w:pStyle w:val="DHHStabletext"/>
            </w:pPr>
            <w:r w:rsidRPr="00B2214E">
              <w:t>Prevention and preparedness: </w:t>
            </w:r>
          </w:p>
          <w:p w14:paraId="697FDA06" w14:textId="77777777" w:rsidR="00C51605" w:rsidRPr="00B2214E" w:rsidRDefault="00C51605" w:rsidP="00B2214E">
            <w:pPr>
              <w:pStyle w:val="Bullet1"/>
            </w:pPr>
            <w:r w:rsidRPr="00B2214E">
              <w:t>Recent activities </w:t>
            </w:r>
          </w:p>
          <w:p w14:paraId="68DC0B0B" w14:textId="77777777" w:rsidR="00C51605" w:rsidRPr="00B2214E" w:rsidRDefault="00C51605" w:rsidP="00B2214E">
            <w:pPr>
              <w:pStyle w:val="Bullet1"/>
            </w:pPr>
            <w:r w:rsidRPr="00B2214E">
              <w:t>Other matters </w:t>
            </w:r>
          </w:p>
        </w:tc>
        <w:tc>
          <w:tcPr>
            <w:tcW w:w="1830" w:type="dxa"/>
            <w:shd w:val="clear" w:color="auto" w:fill="auto"/>
            <w:hideMark/>
          </w:tcPr>
          <w:p w14:paraId="5CA0904B" w14:textId="77777777" w:rsidR="00C51605" w:rsidRPr="00322EE1" w:rsidRDefault="00C51605" w:rsidP="00B2214E">
            <w:pPr>
              <w:pStyle w:val="DHHStabletext"/>
              <w:rPr>
                <w:lang w:eastAsia="en-AU"/>
              </w:rPr>
            </w:pPr>
            <w:r w:rsidRPr="00322EE1">
              <w:rPr>
                <w:lang w:eastAsia="en-AU"/>
              </w:rPr>
              <w:t>Lead Provider </w:t>
            </w:r>
          </w:p>
        </w:tc>
      </w:tr>
      <w:tr w:rsidR="00C51605" w:rsidRPr="00322EE1" w14:paraId="286D6FE0" w14:textId="77777777" w:rsidTr="00717ED8">
        <w:tc>
          <w:tcPr>
            <w:tcW w:w="840" w:type="dxa"/>
            <w:shd w:val="clear" w:color="auto" w:fill="auto"/>
            <w:hideMark/>
          </w:tcPr>
          <w:p w14:paraId="3B3C816C" w14:textId="77777777" w:rsidR="00C51605" w:rsidRPr="00B2214E" w:rsidRDefault="00C51605" w:rsidP="002853C2">
            <w:pPr>
              <w:numPr>
                <w:ilvl w:val="0"/>
                <w:numId w:val="11"/>
              </w:numPr>
              <w:spacing w:after="0" w:line="240" w:lineRule="auto"/>
              <w:ind w:left="0" w:firstLine="0"/>
              <w:jc w:val="center"/>
              <w:textAlignment w:val="baseline"/>
              <w:rPr>
                <w:rFonts w:cs="Arial"/>
                <w:sz w:val="20"/>
                <w:lang w:eastAsia="en-AU"/>
              </w:rPr>
            </w:pPr>
          </w:p>
        </w:tc>
        <w:tc>
          <w:tcPr>
            <w:tcW w:w="1410" w:type="dxa"/>
            <w:shd w:val="clear" w:color="auto" w:fill="auto"/>
            <w:hideMark/>
          </w:tcPr>
          <w:p w14:paraId="1B3DE507"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3087FA63" w14:textId="77777777" w:rsidR="00C51605" w:rsidRPr="00B2214E" w:rsidRDefault="00C51605" w:rsidP="00B2214E">
            <w:pPr>
              <w:pStyle w:val="DHHStabletext"/>
            </w:pPr>
            <w:r w:rsidRPr="00B2214E">
              <w:t>Community engagement: </w:t>
            </w:r>
          </w:p>
          <w:p w14:paraId="6B9D6E52" w14:textId="77777777" w:rsidR="00C51605" w:rsidRPr="00B2214E" w:rsidRDefault="00C51605" w:rsidP="00B2214E">
            <w:pPr>
              <w:pStyle w:val="Bullet1"/>
            </w:pPr>
            <w:r w:rsidRPr="00B2214E">
              <w:t>Vaccination engagement </w:t>
            </w:r>
          </w:p>
          <w:p w14:paraId="119E2F23" w14:textId="77777777" w:rsidR="00C51605" w:rsidRPr="00B2214E" w:rsidRDefault="00C51605" w:rsidP="00B2214E">
            <w:pPr>
              <w:pStyle w:val="Bullet1"/>
            </w:pPr>
            <w:r w:rsidRPr="00B2214E">
              <w:t>Engagement with CALD communities </w:t>
            </w:r>
          </w:p>
          <w:p w14:paraId="7C830231" w14:textId="77777777" w:rsidR="00C51605" w:rsidRPr="00B2214E" w:rsidRDefault="00C51605" w:rsidP="00B2214E">
            <w:pPr>
              <w:pStyle w:val="Bullet1"/>
            </w:pPr>
            <w:r w:rsidRPr="00B2214E">
              <w:t>Engagement with people with disabilities </w:t>
            </w:r>
          </w:p>
          <w:p w14:paraId="48F7FFA5" w14:textId="77777777" w:rsidR="00C51605" w:rsidRPr="00B2214E" w:rsidRDefault="00C51605" w:rsidP="00B2214E">
            <w:pPr>
              <w:pStyle w:val="Bullet1"/>
            </w:pPr>
            <w:r w:rsidRPr="00B2214E">
              <w:t>Engagement with Aboriginal and Torres Strait Islander communities </w:t>
            </w:r>
          </w:p>
          <w:p w14:paraId="6D1741DE" w14:textId="77777777" w:rsidR="00C51605" w:rsidRPr="00B2214E" w:rsidRDefault="00C51605" w:rsidP="00B2214E">
            <w:pPr>
              <w:pStyle w:val="Bullet1"/>
            </w:pPr>
            <w:r w:rsidRPr="00B2214E">
              <w:t>Other engagement matters </w:t>
            </w:r>
          </w:p>
        </w:tc>
        <w:tc>
          <w:tcPr>
            <w:tcW w:w="1830" w:type="dxa"/>
            <w:shd w:val="clear" w:color="auto" w:fill="auto"/>
            <w:hideMark/>
          </w:tcPr>
          <w:p w14:paraId="3046D530" w14:textId="77777777" w:rsidR="00C51605" w:rsidRPr="00322EE1" w:rsidRDefault="00C51605" w:rsidP="00B2214E">
            <w:pPr>
              <w:pStyle w:val="DHHStabletext"/>
              <w:rPr>
                <w:lang w:eastAsia="en-AU"/>
              </w:rPr>
            </w:pPr>
            <w:r w:rsidRPr="00322EE1">
              <w:rPr>
                <w:lang w:eastAsia="en-AU"/>
              </w:rPr>
              <w:t>Lead Provider </w:t>
            </w:r>
          </w:p>
        </w:tc>
      </w:tr>
      <w:tr w:rsidR="00C51605" w:rsidRPr="00322EE1" w14:paraId="04C4648B" w14:textId="77777777" w:rsidTr="00717ED8">
        <w:tc>
          <w:tcPr>
            <w:tcW w:w="840" w:type="dxa"/>
            <w:shd w:val="clear" w:color="auto" w:fill="auto"/>
            <w:hideMark/>
          </w:tcPr>
          <w:p w14:paraId="0969AB43" w14:textId="77777777" w:rsidR="00C51605" w:rsidRPr="00B2214E" w:rsidRDefault="00C51605" w:rsidP="002853C2">
            <w:pPr>
              <w:numPr>
                <w:ilvl w:val="0"/>
                <w:numId w:val="12"/>
              </w:numPr>
              <w:spacing w:after="0" w:line="240" w:lineRule="auto"/>
              <w:ind w:left="0" w:firstLine="0"/>
              <w:jc w:val="center"/>
              <w:textAlignment w:val="baseline"/>
              <w:rPr>
                <w:rFonts w:cs="Arial"/>
                <w:sz w:val="20"/>
                <w:lang w:eastAsia="en-AU"/>
              </w:rPr>
            </w:pPr>
          </w:p>
        </w:tc>
        <w:tc>
          <w:tcPr>
            <w:tcW w:w="1410" w:type="dxa"/>
            <w:shd w:val="clear" w:color="auto" w:fill="auto"/>
            <w:hideMark/>
          </w:tcPr>
          <w:p w14:paraId="35DBD65F"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4DBBDAB8" w14:textId="77777777" w:rsidR="00C51605" w:rsidRPr="00B2214E" w:rsidRDefault="00C51605" w:rsidP="00B2214E">
            <w:pPr>
              <w:pStyle w:val="DHHStabletext"/>
            </w:pPr>
            <w:r w:rsidRPr="00B2214E">
              <w:t>Active linkage to social supports: </w:t>
            </w:r>
          </w:p>
          <w:p w14:paraId="3AC2A760" w14:textId="77777777" w:rsidR="00C51605" w:rsidRPr="00B2214E" w:rsidRDefault="00C51605" w:rsidP="00B2214E">
            <w:pPr>
              <w:pStyle w:val="Bullet1"/>
            </w:pPr>
            <w:r w:rsidRPr="00B2214E">
              <w:t>Recent activities </w:t>
            </w:r>
          </w:p>
          <w:p w14:paraId="589BE23E" w14:textId="77777777" w:rsidR="00C51605" w:rsidRPr="00B2214E" w:rsidRDefault="00C51605" w:rsidP="00B2214E">
            <w:pPr>
              <w:pStyle w:val="Bullet1"/>
            </w:pPr>
            <w:r w:rsidRPr="00B2214E">
              <w:t>Other matters </w:t>
            </w:r>
          </w:p>
        </w:tc>
        <w:tc>
          <w:tcPr>
            <w:tcW w:w="1830" w:type="dxa"/>
            <w:shd w:val="clear" w:color="auto" w:fill="auto"/>
            <w:hideMark/>
          </w:tcPr>
          <w:p w14:paraId="6F435297" w14:textId="77777777" w:rsidR="00C51605" w:rsidRPr="00322EE1" w:rsidRDefault="00C51605" w:rsidP="00B2214E">
            <w:pPr>
              <w:pStyle w:val="DHHStabletext"/>
              <w:rPr>
                <w:lang w:eastAsia="en-AU"/>
              </w:rPr>
            </w:pPr>
            <w:r w:rsidRPr="00322EE1">
              <w:rPr>
                <w:lang w:eastAsia="en-AU"/>
              </w:rPr>
              <w:t>Lead Provider </w:t>
            </w:r>
          </w:p>
        </w:tc>
      </w:tr>
      <w:tr w:rsidR="00C51605" w:rsidRPr="00322EE1" w14:paraId="7F53FFAD" w14:textId="77777777" w:rsidTr="00717ED8">
        <w:tc>
          <w:tcPr>
            <w:tcW w:w="840" w:type="dxa"/>
            <w:shd w:val="clear" w:color="auto" w:fill="auto"/>
            <w:hideMark/>
          </w:tcPr>
          <w:p w14:paraId="7D51DB5E" w14:textId="77777777" w:rsidR="00C51605" w:rsidRPr="00B2214E" w:rsidRDefault="00C51605" w:rsidP="002853C2">
            <w:pPr>
              <w:numPr>
                <w:ilvl w:val="0"/>
                <w:numId w:val="13"/>
              </w:numPr>
              <w:spacing w:after="0" w:line="240" w:lineRule="auto"/>
              <w:ind w:left="0" w:firstLine="0"/>
              <w:jc w:val="center"/>
              <w:textAlignment w:val="baseline"/>
              <w:rPr>
                <w:rFonts w:cs="Arial"/>
                <w:sz w:val="20"/>
                <w:lang w:eastAsia="en-AU"/>
              </w:rPr>
            </w:pPr>
          </w:p>
        </w:tc>
        <w:tc>
          <w:tcPr>
            <w:tcW w:w="1410" w:type="dxa"/>
            <w:shd w:val="clear" w:color="auto" w:fill="auto"/>
            <w:hideMark/>
          </w:tcPr>
          <w:p w14:paraId="4859B22A"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3414C967" w14:textId="77777777" w:rsidR="00C51605" w:rsidRPr="00B2214E" w:rsidRDefault="00C51605" w:rsidP="00B2214E">
            <w:pPr>
              <w:pStyle w:val="DHHStabletext"/>
            </w:pPr>
            <w:r w:rsidRPr="00B2214E">
              <w:t>Outbreak support: </w:t>
            </w:r>
          </w:p>
          <w:p w14:paraId="1C7F4D96" w14:textId="77777777" w:rsidR="00C51605" w:rsidRPr="00B2214E" w:rsidRDefault="00C51605" w:rsidP="00B2214E">
            <w:pPr>
              <w:pStyle w:val="Bullet1"/>
            </w:pPr>
            <w:r w:rsidRPr="00B2214E">
              <w:t>Matters arising from recent outbreak activity, if applicable </w:t>
            </w:r>
          </w:p>
        </w:tc>
        <w:tc>
          <w:tcPr>
            <w:tcW w:w="1830" w:type="dxa"/>
            <w:shd w:val="clear" w:color="auto" w:fill="auto"/>
            <w:hideMark/>
          </w:tcPr>
          <w:p w14:paraId="5AD02CD0" w14:textId="77777777" w:rsidR="00C51605" w:rsidRPr="00322EE1" w:rsidRDefault="00C51605" w:rsidP="00B2214E">
            <w:pPr>
              <w:pStyle w:val="DHHStabletext"/>
              <w:rPr>
                <w:lang w:eastAsia="en-AU"/>
              </w:rPr>
            </w:pPr>
            <w:r w:rsidRPr="00322EE1">
              <w:rPr>
                <w:lang w:eastAsia="en-AU"/>
              </w:rPr>
              <w:t>Lead Provider </w:t>
            </w:r>
          </w:p>
        </w:tc>
      </w:tr>
      <w:tr w:rsidR="00C51605" w:rsidRPr="00322EE1" w14:paraId="30DB57BF" w14:textId="77777777" w:rsidTr="00717ED8">
        <w:tc>
          <w:tcPr>
            <w:tcW w:w="840" w:type="dxa"/>
            <w:shd w:val="clear" w:color="auto" w:fill="auto"/>
            <w:hideMark/>
          </w:tcPr>
          <w:p w14:paraId="54848110" w14:textId="77777777" w:rsidR="00C51605" w:rsidRPr="00B2214E" w:rsidRDefault="00C51605" w:rsidP="002853C2">
            <w:pPr>
              <w:numPr>
                <w:ilvl w:val="0"/>
                <w:numId w:val="14"/>
              </w:numPr>
              <w:spacing w:after="0" w:line="240" w:lineRule="auto"/>
              <w:ind w:left="0" w:firstLine="0"/>
              <w:jc w:val="center"/>
              <w:textAlignment w:val="baseline"/>
              <w:rPr>
                <w:rFonts w:cs="Arial"/>
                <w:sz w:val="20"/>
                <w:lang w:eastAsia="en-AU"/>
              </w:rPr>
            </w:pPr>
          </w:p>
        </w:tc>
        <w:tc>
          <w:tcPr>
            <w:tcW w:w="1410" w:type="dxa"/>
            <w:shd w:val="clear" w:color="auto" w:fill="auto"/>
            <w:hideMark/>
          </w:tcPr>
          <w:p w14:paraId="7A582E55"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23F665D2" w14:textId="77777777" w:rsidR="00C51605" w:rsidRPr="00B2214E" w:rsidRDefault="00C51605" w:rsidP="00B2214E">
            <w:pPr>
              <w:pStyle w:val="DHHStabletext"/>
            </w:pPr>
            <w:r w:rsidRPr="00B2214E">
              <w:t>Collaboration and engagement: </w:t>
            </w:r>
          </w:p>
          <w:p w14:paraId="3EACF557" w14:textId="77777777" w:rsidR="00C51605" w:rsidRPr="00B2214E" w:rsidRDefault="00C51605" w:rsidP="00B2214E">
            <w:pPr>
              <w:pStyle w:val="Bullet1"/>
            </w:pPr>
            <w:r w:rsidRPr="00B2214E">
              <w:t>Gaps and duplication </w:t>
            </w:r>
          </w:p>
          <w:p w14:paraId="0C4CF276" w14:textId="77777777" w:rsidR="00C51605" w:rsidRPr="00B2214E" w:rsidRDefault="00C51605" w:rsidP="00B2214E">
            <w:pPr>
              <w:pStyle w:val="Bullet1"/>
            </w:pPr>
            <w:r w:rsidRPr="00B2214E">
              <w:t>Share success stories </w:t>
            </w:r>
          </w:p>
          <w:p w14:paraId="7EFE42E6" w14:textId="77777777" w:rsidR="00C51605" w:rsidRPr="00B2214E" w:rsidRDefault="00C51605" w:rsidP="00B2214E">
            <w:pPr>
              <w:pStyle w:val="Bullet1"/>
            </w:pPr>
            <w:r w:rsidRPr="00B2214E">
              <w:t>New opportunities </w:t>
            </w:r>
          </w:p>
        </w:tc>
        <w:tc>
          <w:tcPr>
            <w:tcW w:w="1830" w:type="dxa"/>
            <w:shd w:val="clear" w:color="auto" w:fill="auto"/>
            <w:hideMark/>
          </w:tcPr>
          <w:p w14:paraId="7B596DEF" w14:textId="77777777" w:rsidR="00C51605" w:rsidRPr="00322EE1" w:rsidRDefault="00C51605" w:rsidP="00B2214E">
            <w:pPr>
              <w:pStyle w:val="DHHStabletext"/>
              <w:rPr>
                <w:lang w:eastAsia="en-AU"/>
              </w:rPr>
            </w:pPr>
            <w:r w:rsidRPr="00322EE1">
              <w:rPr>
                <w:lang w:eastAsia="en-AU"/>
              </w:rPr>
              <w:t>All </w:t>
            </w:r>
          </w:p>
        </w:tc>
      </w:tr>
      <w:tr w:rsidR="00C51605" w:rsidRPr="00322EE1" w14:paraId="174553AF" w14:textId="77777777" w:rsidTr="00717ED8">
        <w:tc>
          <w:tcPr>
            <w:tcW w:w="840" w:type="dxa"/>
            <w:shd w:val="clear" w:color="auto" w:fill="auto"/>
            <w:hideMark/>
          </w:tcPr>
          <w:p w14:paraId="69C1FFD8" w14:textId="77777777" w:rsidR="00C51605" w:rsidRPr="00B2214E" w:rsidRDefault="00C51605" w:rsidP="002853C2">
            <w:pPr>
              <w:numPr>
                <w:ilvl w:val="0"/>
                <w:numId w:val="15"/>
              </w:numPr>
              <w:spacing w:after="0" w:line="240" w:lineRule="auto"/>
              <w:ind w:left="0" w:firstLine="0"/>
              <w:jc w:val="center"/>
              <w:textAlignment w:val="baseline"/>
              <w:rPr>
                <w:rFonts w:cs="Arial"/>
                <w:sz w:val="20"/>
                <w:lang w:eastAsia="en-AU"/>
              </w:rPr>
            </w:pPr>
          </w:p>
        </w:tc>
        <w:tc>
          <w:tcPr>
            <w:tcW w:w="1410" w:type="dxa"/>
            <w:shd w:val="clear" w:color="auto" w:fill="auto"/>
            <w:hideMark/>
          </w:tcPr>
          <w:p w14:paraId="5280E9EB"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369ABE27" w14:textId="77777777" w:rsidR="00C51605" w:rsidRPr="00B2214E" w:rsidRDefault="00C51605" w:rsidP="00B2214E">
            <w:pPr>
              <w:pStyle w:val="DHHStabletext"/>
            </w:pPr>
            <w:r w:rsidRPr="00B2214E">
              <w:t>Impact, legacy and opportunities for improvement </w:t>
            </w:r>
          </w:p>
        </w:tc>
        <w:tc>
          <w:tcPr>
            <w:tcW w:w="1830" w:type="dxa"/>
            <w:shd w:val="clear" w:color="auto" w:fill="auto"/>
            <w:hideMark/>
          </w:tcPr>
          <w:p w14:paraId="697DB994" w14:textId="77777777" w:rsidR="00C51605" w:rsidRPr="00322EE1" w:rsidRDefault="00C51605" w:rsidP="00B2214E">
            <w:pPr>
              <w:pStyle w:val="DHHStabletext"/>
              <w:rPr>
                <w:lang w:eastAsia="en-AU"/>
              </w:rPr>
            </w:pPr>
            <w:r w:rsidRPr="00322EE1">
              <w:rPr>
                <w:lang w:eastAsia="en-AU"/>
              </w:rPr>
              <w:t>All </w:t>
            </w:r>
          </w:p>
        </w:tc>
      </w:tr>
      <w:tr w:rsidR="00C51605" w:rsidRPr="00322EE1" w14:paraId="685963AF" w14:textId="77777777" w:rsidTr="00717ED8">
        <w:tc>
          <w:tcPr>
            <w:tcW w:w="840" w:type="dxa"/>
            <w:shd w:val="clear" w:color="auto" w:fill="auto"/>
            <w:hideMark/>
          </w:tcPr>
          <w:p w14:paraId="59A83026" w14:textId="77777777" w:rsidR="00C51605" w:rsidRPr="00B2214E" w:rsidRDefault="00C51605" w:rsidP="002853C2">
            <w:pPr>
              <w:numPr>
                <w:ilvl w:val="0"/>
                <w:numId w:val="16"/>
              </w:numPr>
              <w:spacing w:after="0" w:line="240" w:lineRule="auto"/>
              <w:ind w:left="0" w:firstLine="0"/>
              <w:jc w:val="center"/>
              <w:textAlignment w:val="baseline"/>
              <w:rPr>
                <w:rFonts w:cs="Arial"/>
                <w:sz w:val="20"/>
                <w:lang w:eastAsia="en-AU"/>
              </w:rPr>
            </w:pPr>
          </w:p>
        </w:tc>
        <w:tc>
          <w:tcPr>
            <w:tcW w:w="1410" w:type="dxa"/>
            <w:shd w:val="clear" w:color="auto" w:fill="auto"/>
            <w:hideMark/>
          </w:tcPr>
          <w:p w14:paraId="244BF7E6" w14:textId="77777777" w:rsidR="00C51605" w:rsidRPr="00322EE1" w:rsidRDefault="00C51605" w:rsidP="00B2214E">
            <w:pPr>
              <w:pStyle w:val="DHHStabletext"/>
              <w:rPr>
                <w:lang w:eastAsia="en-AU"/>
              </w:rPr>
            </w:pPr>
            <w:r w:rsidRPr="00322EE1">
              <w:rPr>
                <w:lang w:eastAsia="en-AU"/>
              </w:rPr>
              <w:t> </w:t>
            </w:r>
          </w:p>
        </w:tc>
        <w:tc>
          <w:tcPr>
            <w:tcW w:w="6090" w:type="dxa"/>
            <w:shd w:val="clear" w:color="auto" w:fill="auto"/>
            <w:hideMark/>
          </w:tcPr>
          <w:p w14:paraId="11720115" w14:textId="77777777" w:rsidR="00C51605" w:rsidRPr="00B2214E" w:rsidRDefault="00C51605" w:rsidP="00B2214E">
            <w:pPr>
              <w:pStyle w:val="DHHStabletext"/>
            </w:pPr>
            <w:r w:rsidRPr="00B2214E">
              <w:t>Other business </w:t>
            </w:r>
          </w:p>
        </w:tc>
        <w:tc>
          <w:tcPr>
            <w:tcW w:w="1830" w:type="dxa"/>
            <w:shd w:val="clear" w:color="auto" w:fill="auto"/>
            <w:hideMark/>
          </w:tcPr>
          <w:p w14:paraId="5DA043E4" w14:textId="77777777" w:rsidR="00C51605" w:rsidRPr="00322EE1" w:rsidRDefault="00C51605" w:rsidP="00B2214E">
            <w:pPr>
              <w:pStyle w:val="DHHStabletext"/>
              <w:rPr>
                <w:lang w:eastAsia="en-AU"/>
              </w:rPr>
            </w:pPr>
            <w:r w:rsidRPr="00322EE1">
              <w:rPr>
                <w:lang w:eastAsia="en-AU"/>
              </w:rPr>
              <w:t>All </w:t>
            </w:r>
          </w:p>
        </w:tc>
      </w:tr>
    </w:tbl>
    <w:p w14:paraId="0FAE0771" w14:textId="77777777" w:rsidR="00C51605" w:rsidRPr="009376ED" w:rsidRDefault="00C51605" w:rsidP="00F37BD2">
      <w:pPr>
        <w:pStyle w:val="Heading4"/>
      </w:pPr>
      <w:r w:rsidRPr="009376ED">
        <w:t>Your action record  </w:t>
      </w:r>
    </w:p>
    <w:tbl>
      <w:tblPr>
        <w:tblW w:w="102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Caption w:val="Your action record template"/>
      </w:tblPr>
      <w:tblGrid>
        <w:gridCol w:w="840"/>
        <w:gridCol w:w="5676"/>
        <w:gridCol w:w="1559"/>
        <w:gridCol w:w="2126"/>
      </w:tblGrid>
      <w:tr w:rsidR="00C51605" w:rsidRPr="00322EE1" w14:paraId="149BBE35" w14:textId="77777777" w:rsidTr="004237DE">
        <w:tc>
          <w:tcPr>
            <w:tcW w:w="840" w:type="dxa"/>
            <w:shd w:val="clear" w:color="auto" w:fill="auto"/>
            <w:hideMark/>
          </w:tcPr>
          <w:p w14:paraId="226023A3" w14:textId="77777777" w:rsidR="00C51605" w:rsidRPr="00B2214E" w:rsidRDefault="00C51605" w:rsidP="005325AE">
            <w:pPr>
              <w:pStyle w:val="DHHStablecolhead"/>
            </w:pPr>
            <w:r w:rsidRPr="00B2214E">
              <w:t>Item </w:t>
            </w:r>
          </w:p>
        </w:tc>
        <w:tc>
          <w:tcPr>
            <w:tcW w:w="5676" w:type="dxa"/>
            <w:shd w:val="clear" w:color="auto" w:fill="auto"/>
            <w:hideMark/>
          </w:tcPr>
          <w:p w14:paraId="5D43F6C9" w14:textId="77777777" w:rsidR="00C51605" w:rsidRPr="00B2214E" w:rsidRDefault="00C51605" w:rsidP="005325AE">
            <w:pPr>
              <w:pStyle w:val="DHHStablecolhead"/>
            </w:pPr>
            <w:r w:rsidRPr="00B2214E">
              <w:t>Action </w:t>
            </w:r>
          </w:p>
        </w:tc>
        <w:tc>
          <w:tcPr>
            <w:tcW w:w="1559" w:type="dxa"/>
            <w:shd w:val="clear" w:color="auto" w:fill="auto"/>
            <w:hideMark/>
          </w:tcPr>
          <w:p w14:paraId="135F5D4E" w14:textId="77777777" w:rsidR="00C51605" w:rsidRPr="00B2214E" w:rsidRDefault="00C51605" w:rsidP="005325AE">
            <w:pPr>
              <w:pStyle w:val="DHHStablecolhead"/>
            </w:pPr>
            <w:r w:rsidRPr="00B2214E">
              <w:t>Deadline </w:t>
            </w:r>
          </w:p>
        </w:tc>
        <w:tc>
          <w:tcPr>
            <w:tcW w:w="2126" w:type="dxa"/>
            <w:shd w:val="clear" w:color="auto" w:fill="auto"/>
            <w:hideMark/>
          </w:tcPr>
          <w:p w14:paraId="4C8B3C79" w14:textId="77777777" w:rsidR="00C51605" w:rsidRPr="00B2214E" w:rsidRDefault="00C51605" w:rsidP="005325AE">
            <w:pPr>
              <w:pStyle w:val="DHHStablecolhead"/>
            </w:pPr>
            <w:r w:rsidRPr="00B2214E">
              <w:t>Person responsible </w:t>
            </w:r>
          </w:p>
        </w:tc>
      </w:tr>
      <w:tr w:rsidR="00C51605" w:rsidRPr="00322EE1" w14:paraId="3DD448D7" w14:textId="77777777" w:rsidTr="004237DE">
        <w:trPr>
          <w:trHeight w:val="555"/>
        </w:trPr>
        <w:tc>
          <w:tcPr>
            <w:tcW w:w="840" w:type="dxa"/>
            <w:shd w:val="clear" w:color="auto" w:fill="auto"/>
            <w:hideMark/>
          </w:tcPr>
          <w:p w14:paraId="35DCBF56" w14:textId="77777777" w:rsidR="00C51605" w:rsidRPr="00322EE1" w:rsidRDefault="00C51605" w:rsidP="00B2214E">
            <w:pPr>
              <w:pStyle w:val="DHHStabletext"/>
              <w:rPr>
                <w:rFonts w:ascii="Times New Roman" w:hAnsi="Times New Roman"/>
                <w:lang w:eastAsia="en-AU"/>
              </w:rPr>
            </w:pPr>
            <w:r w:rsidRPr="00322EE1">
              <w:rPr>
                <w:lang w:eastAsia="en-AU"/>
              </w:rPr>
              <w:t> </w:t>
            </w:r>
          </w:p>
        </w:tc>
        <w:tc>
          <w:tcPr>
            <w:tcW w:w="5676" w:type="dxa"/>
            <w:shd w:val="clear" w:color="auto" w:fill="auto"/>
            <w:hideMark/>
          </w:tcPr>
          <w:p w14:paraId="70A5160A" w14:textId="77777777" w:rsidR="00C51605" w:rsidRPr="00322EE1" w:rsidRDefault="00C51605" w:rsidP="00B2214E">
            <w:pPr>
              <w:pStyle w:val="DHHStabletext"/>
              <w:rPr>
                <w:rFonts w:ascii="Times New Roman" w:hAnsi="Times New Roman"/>
                <w:lang w:eastAsia="en-AU"/>
              </w:rPr>
            </w:pPr>
            <w:r w:rsidRPr="00322EE1">
              <w:rPr>
                <w:lang w:eastAsia="en-AU"/>
              </w:rPr>
              <w:t> </w:t>
            </w:r>
          </w:p>
        </w:tc>
        <w:tc>
          <w:tcPr>
            <w:tcW w:w="1559" w:type="dxa"/>
            <w:shd w:val="clear" w:color="auto" w:fill="auto"/>
            <w:hideMark/>
          </w:tcPr>
          <w:p w14:paraId="084B68A2" w14:textId="77777777" w:rsidR="00C51605" w:rsidRPr="00322EE1" w:rsidRDefault="00C51605" w:rsidP="00B2214E">
            <w:pPr>
              <w:pStyle w:val="DHHStabletext"/>
              <w:rPr>
                <w:rFonts w:ascii="Times New Roman" w:hAnsi="Times New Roman"/>
                <w:lang w:eastAsia="en-AU"/>
              </w:rPr>
            </w:pPr>
            <w:r w:rsidRPr="00322EE1">
              <w:rPr>
                <w:lang w:eastAsia="en-AU"/>
              </w:rPr>
              <w:t> </w:t>
            </w:r>
          </w:p>
        </w:tc>
        <w:tc>
          <w:tcPr>
            <w:tcW w:w="2126" w:type="dxa"/>
            <w:shd w:val="clear" w:color="auto" w:fill="auto"/>
            <w:hideMark/>
          </w:tcPr>
          <w:p w14:paraId="4FF9D103" w14:textId="77777777" w:rsidR="00C51605" w:rsidRPr="00322EE1" w:rsidRDefault="00C51605" w:rsidP="00B2214E">
            <w:pPr>
              <w:pStyle w:val="DHHStabletext"/>
              <w:rPr>
                <w:rFonts w:ascii="Times New Roman" w:hAnsi="Times New Roman"/>
                <w:lang w:eastAsia="en-AU"/>
              </w:rPr>
            </w:pPr>
            <w:r w:rsidRPr="00322EE1">
              <w:rPr>
                <w:lang w:eastAsia="en-AU"/>
              </w:rPr>
              <w:t> </w:t>
            </w:r>
          </w:p>
        </w:tc>
      </w:tr>
      <w:tr w:rsidR="00C51605" w:rsidRPr="00322EE1" w14:paraId="0AA260BA" w14:textId="77777777" w:rsidTr="004237DE">
        <w:trPr>
          <w:trHeight w:val="555"/>
        </w:trPr>
        <w:tc>
          <w:tcPr>
            <w:tcW w:w="840" w:type="dxa"/>
            <w:shd w:val="clear" w:color="auto" w:fill="auto"/>
            <w:hideMark/>
          </w:tcPr>
          <w:p w14:paraId="13FB3766" w14:textId="77777777" w:rsidR="00C51605" w:rsidRPr="00322EE1" w:rsidRDefault="00C51605" w:rsidP="00B2214E">
            <w:pPr>
              <w:pStyle w:val="DHHStabletext"/>
              <w:rPr>
                <w:rFonts w:ascii="Times New Roman" w:hAnsi="Times New Roman"/>
                <w:lang w:eastAsia="en-AU"/>
              </w:rPr>
            </w:pPr>
            <w:r w:rsidRPr="00322EE1">
              <w:rPr>
                <w:lang w:eastAsia="en-AU"/>
              </w:rPr>
              <w:t> </w:t>
            </w:r>
          </w:p>
        </w:tc>
        <w:tc>
          <w:tcPr>
            <w:tcW w:w="5676" w:type="dxa"/>
            <w:shd w:val="clear" w:color="auto" w:fill="auto"/>
            <w:hideMark/>
          </w:tcPr>
          <w:p w14:paraId="27890EFC" w14:textId="77777777" w:rsidR="00C51605" w:rsidRPr="00322EE1" w:rsidRDefault="00C51605" w:rsidP="00B2214E">
            <w:pPr>
              <w:pStyle w:val="DHHStabletext"/>
              <w:rPr>
                <w:rFonts w:ascii="Times New Roman" w:hAnsi="Times New Roman"/>
                <w:lang w:eastAsia="en-AU"/>
              </w:rPr>
            </w:pPr>
            <w:r w:rsidRPr="00322EE1">
              <w:rPr>
                <w:lang w:eastAsia="en-AU"/>
              </w:rPr>
              <w:t> </w:t>
            </w:r>
          </w:p>
        </w:tc>
        <w:tc>
          <w:tcPr>
            <w:tcW w:w="1559" w:type="dxa"/>
            <w:shd w:val="clear" w:color="auto" w:fill="auto"/>
            <w:hideMark/>
          </w:tcPr>
          <w:p w14:paraId="5010A599" w14:textId="77777777" w:rsidR="00C51605" w:rsidRPr="00322EE1" w:rsidRDefault="00C51605" w:rsidP="00B2214E">
            <w:pPr>
              <w:pStyle w:val="DHHStabletext"/>
              <w:rPr>
                <w:rFonts w:ascii="Times New Roman" w:hAnsi="Times New Roman"/>
                <w:lang w:eastAsia="en-AU"/>
              </w:rPr>
            </w:pPr>
            <w:r w:rsidRPr="00322EE1">
              <w:rPr>
                <w:lang w:eastAsia="en-AU"/>
              </w:rPr>
              <w:t> </w:t>
            </w:r>
          </w:p>
        </w:tc>
        <w:tc>
          <w:tcPr>
            <w:tcW w:w="2126" w:type="dxa"/>
            <w:shd w:val="clear" w:color="auto" w:fill="auto"/>
            <w:hideMark/>
          </w:tcPr>
          <w:p w14:paraId="29ADC66F" w14:textId="77777777" w:rsidR="00C51605" w:rsidRPr="00322EE1" w:rsidRDefault="00C51605" w:rsidP="00B2214E">
            <w:pPr>
              <w:pStyle w:val="DHHStabletext"/>
              <w:rPr>
                <w:rFonts w:ascii="Times New Roman" w:hAnsi="Times New Roman"/>
                <w:lang w:eastAsia="en-AU"/>
              </w:rPr>
            </w:pPr>
            <w:r w:rsidRPr="00322EE1">
              <w:rPr>
                <w:lang w:eastAsia="en-AU"/>
              </w:rPr>
              <w:t> </w:t>
            </w:r>
          </w:p>
        </w:tc>
      </w:tr>
      <w:tr w:rsidR="00C51605" w:rsidRPr="00322EE1" w14:paraId="2BE627AD" w14:textId="77777777" w:rsidTr="004237DE">
        <w:trPr>
          <w:trHeight w:val="555"/>
        </w:trPr>
        <w:tc>
          <w:tcPr>
            <w:tcW w:w="840" w:type="dxa"/>
            <w:shd w:val="clear" w:color="auto" w:fill="auto"/>
            <w:hideMark/>
          </w:tcPr>
          <w:p w14:paraId="12656F3A" w14:textId="77777777" w:rsidR="00C51605" w:rsidRPr="00322EE1" w:rsidRDefault="00C51605" w:rsidP="00B2214E">
            <w:pPr>
              <w:pStyle w:val="DHHStabletext"/>
              <w:rPr>
                <w:rFonts w:ascii="Times New Roman" w:hAnsi="Times New Roman"/>
                <w:lang w:eastAsia="en-AU"/>
              </w:rPr>
            </w:pPr>
            <w:r w:rsidRPr="00322EE1">
              <w:rPr>
                <w:lang w:eastAsia="en-AU"/>
              </w:rPr>
              <w:t> </w:t>
            </w:r>
          </w:p>
        </w:tc>
        <w:tc>
          <w:tcPr>
            <w:tcW w:w="5676" w:type="dxa"/>
            <w:shd w:val="clear" w:color="auto" w:fill="auto"/>
            <w:hideMark/>
          </w:tcPr>
          <w:p w14:paraId="5868CBA0" w14:textId="77777777" w:rsidR="00C51605" w:rsidRPr="00322EE1" w:rsidRDefault="00C51605" w:rsidP="00B2214E">
            <w:pPr>
              <w:pStyle w:val="DHHStabletext"/>
              <w:rPr>
                <w:rFonts w:ascii="Times New Roman" w:hAnsi="Times New Roman"/>
                <w:lang w:eastAsia="en-AU"/>
              </w:rPr>
            </w:pPr>
            <w:r w:rsidRPr="00322EE1">
              <w:rPr>
                <w:lang w:eastAsia="en-AU"/>
              </w:rPr>
              <w:t> </w:t>
            </w:r>
          </w:p>
        </w:tc>
        <w:tc>
          <w:tcPr>
            <w:tcW w:w="1559" w:type="dxa"/>
            <w:shd w:val="clear" w:color="auto" w:fill="auto"/>
            <w:hideMark/>
          </w:tcPr>
          <w:p w14:paraId="4758A4DF" w14:textId="77777777" w:rsidR="00C51605" w:rsidRPr="00322EE1" w:rsidRDefault="00C51605" w:rsidP="00B2214E">
            <w:pPr>
              <w:pStyle w:val="DHHStabletext"/>
              <w:rPr>
                <w:rFonts w:ascii="Times New Roman" w:hAnsi="Times New Roman"/>
                <w:lang w:eastAsia="en-AU"/>
              </w:rPr>
            </w:pPr>
            <w:r w:rsidRPr="00322EE1">
              <w:rPr>
                <w:lang w:eastAsia="en-AU"/>
              </w:rPr>
              <w:t> </w:t>
            </w:r>
          </w:p>
        </w:tc>
        <w:tc>
          <w:tcPr>
            <w:tcW w:w="2126" w:type="dxa"/>
            <w:shd w:val="clear" w:color="auto" w:fill="auto"/>
            <w:hideMark/>
          </w:tcPr>
          <w:p w14:paraId="2EB9E07F" w14:textId="77777777" w:rsidR="00C51605" w:rsidRPr="00322EE1" w:rsidRDefault="00C51605" w:rsidP="00B2214E">
            <w:pPr>
              <w:pStyle w:val="DHHStabletext"/>
              <w:rPr>
                <w:rFonts w:ascii="Times New Roman" w:hAnsi="Times New Roman"/>
                <w:lang w:eastAsia="en-AU"/>
              </w:rPr>
            </w:pPr>
            <w:r w:rsidRPr="00322EE1">
              <w:rPr>
                <w:lang w:eastAsia="en-AU"/>
              </w:rPr>
              <w:t> </w:t>
            </w:r>
          </w:p>
        </w:tc>
      </w:tr>
    </w:tbl>
    <w:p w14:paraId="004ECC43" w14:textId="77777777" w:rsidR="00C51605" w:rsidRPr="009376ED" w:rsidRDefault="00C51605" w:rsidP="00F37BD2">
      <w:pPr>
        <w:pStyle w:val="Heading4"/>
      </w:pPr>
      <w:r w:rsidRPr="009376ED">
        <w:t>Your notes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Your notes template"/>
      </w:tblPr>
      <w:tblGrid>
        <w:gridCol w:w="10194"/>
      </w:tblGrid>
      <w:tr w:rsidR="00C51605" w14:paraId="715D53CA" w14:textId="77777777" w:rsidTr="00717ED8">
        <w:trPr>
          <w:trHeight w:val="834"/>
        </w:trPr>
        <w:tc>
          <w:tcPr>
            <w:tcW w:w="10194" w:type="dxa"/>
          </w:tcPr>
          <w:p w14:paraId="6F7B89AB" w14:textId="16055F5A" w:rsidR="00C51605" w:rsidRDefault="00C51605" w:rsidP="00B2214E">
            <w:pPr>
              <w:pStyle w:val="DHHStabletext"/>
              <w:rPr>
                <w:rFonts w:ascii="Segoe UI" w:hAnsi="Segoe UI" w:cs="Segoe UI"/>
                <w:sz w:val="18"/>
                <w:szCs w:val="18"/>
                <w:lang w:eastAsia="en-AU"/>
              </w:rPr>
            </w:pPr>
            <w:r w:rsidRPr="00322EE1">
              <w:rPr>
                <w:lang w:eastAsia="en-AU"/>
              </w:rPr>
              <w:t> </w:t>
            </w:r>
          </w:p>
        </w:tc>
      </w:tr>
    </w:tbl>
    <w:p w14:paraId="6644125E" w14:textId="77777777" w:rsidR="000C7BCD" w:rsidRDefault="000C7BCD">
      <w:pPr>
        <w:spacing w:after="0" w:line="240" w:lineRule="auto"/>
        <w:rPr>
          <w:rFonts w:eastAsia="Times"/>
          <w:sz w:val="20"/>
        </w:rPr>
      </w:pPr>
      <w:r>
        <w:br w:type="page"/>
      </w:r>
    </w:p>
    <w:p w14:paraId="5C817AF6" w14:textId="77777777" w:rsidR="000C7BCD" w:rsidRPr="00B2214E" w:rsidRDefault="000C7BCD" w:rsidP="00B2214E">
      <w:pPr>
        <w:pStyle w:val="Heading2"/>
      </w:pPr>
      <w:bookmarkStart w:id="86" w:name="_Toc93219802"/>
      <w:bookmarkStart w:id="87" w:name="_Toc93905415"/>
      <w:r w:rsidRPr="00B2214E">
        <w:lastRenderedPageBreak/>
        <w:t>Appendix 2: Tier based operating model</w:t>
      </w:r>
      <w:bookmarkEnd w:id="86"/>
      <w:bookmarkEnd w:id="87"/>
      <w:r w:rsidRPr="00B2214E">
        <w:t xml:space="preserve"> </w:t>
      </w:r>
    </w:p>
    <w:p w14:paraId="1CE37E19" w14:textId="77777777" w:rsidR="000C7BCD" w:rsidRPr="00B2214E" w:rsidRDefault="000C7BCD" w:rsidP="00B2214E">
      <w:pPr>
        <w:pStyle w:val="DHHSbody"/>
      </w:pPr>
      <w:r w:rsidRPr="00B2214E">
        <w:t xml:space="preserve">The operating model for settings which were in scope for the first phase of HRAR (all except residential disability) remains largely the same. Approaches to settings will vary according to risk characteristics and whether settings are staffed. In staffed settings, approaches may focus on empowering staff with relevant skills and knowledge to guide and work with residents to create a COVIDSafe environment. In unstaffed settings, approaches are likely to focus on more direct face-to-face engagement with residents. Key differences to the previous operating model include: </w:t>
      </w:r>
    </w:p>
    <w:p w14:paraId="5E695853" w14:textId="77777777" w:rsidR="000C7BCD" w:rsidRPr="00B2214E" w:rsidRDefault="000C7BCD" w:rsidP="00B2214E">
      <w:pPr>
        <w:pStyle w:val="Bullet1"/>
      </w:pPr>
      <w:r w:rsidRPr="00B2214E">
        <w:t>The identification of ‘active linkage to health and social supports’ as a program objective to build connection to the broader health and social support systems</w:t>
      </w:r>
    </w:p>
    <w:p w14:paraId="0A6E60CA" w14:textId="77777777" w:rsidR="000C7BCD" w:rsidRPr="00B2214E" w:rsidRDefault="000C7BCD" w:rsidP="00B2214E">
      <w:pPr>
        <w:pStyle w:val="Bullet1"/>
      </w:pPr>
      <w:r w:rsidRPr="00B2214E">
        <w:t>The inclusion of COVID-19 vaccine promotion and engagement as a component of the prevention and preparedness objective</w:t>
      </w:r>
    </w:p>
    <w:p w14:paraId="4783E9CB" w14:textId="77777777" w:rsidR="000C7BCD" w:rsidRPr="00B2214E" w:rsidRDefault="000C7BCD" w:rsidP="00B2214E">
      <w:pPr>
        <w:pStyle w:val="Bullet1"/>
      </w:pPr>
      <w:r w:rsidRPr="00B2214E">
        <w:t xml:space="preserve">The support to foster relationships with local public health units </w:t>
      </w:r>
    </w:p>
    <w:p w14:paraId="2AACE45E" w14:textId="77777777" w:rsidR="000C7BCD" w:rsidRPr="00B2214E" w:rsidRDefault="000C7BCD" w:rsidP="00B2214E">
      <w:pPr>
        <w:pStyle w:val="Bullet1"/>
      </w:pPr>
      <w:r w:rsidRPr="00B2214E">
        <w:t xml:space="preserve">Expansion of scope to include disability settings </w:t>
      </w:r>
    </w:p>
    <w:p w14:paraId="45C1B8E6" w14:textId="77777777" w:rsidR="000C7BCD" w:rsidRPr="000C7BCD" w:rsidRDefault="000C7BCD" w:rsidP="00B2214E">
      <w:pPr>
        <w:pStyle w:val="DHHSbodyafterbullets"/>
      </w:pPr>
      <w:r w:rsidRPr="000C7BCD">
        <w:t>Residential disability settings have been brought into scope to the HRAR Extension model. For more information on in scope Residential disability settings, see ‘Scope’ section on page 9</w:t>
      </w:r>
    </w:p>
    <w:p w14:paraId="12B6FFB4" w14:textId="517E8622" w:rsidR="000C7BCD" w:rsidRPr="00B2214E" w:rsidRDefault="000C7BCD" w:rsidP="00B2214E">
      <w:pPr>
        <w:pStyle w:val="DHHSbody"/>
        <w:rPr>
          <w:rStyle w:val="eop"/>
        </w:rPr>
      </w:pPr>
      <w:r w:rsidRPr="00B2214E">
        <w:t>The program operates across a range of settings. These are briefly described in the table below:</w:t>
      </w:r>
    </w:p>
    <w:p w14:paraId="6A8398A3" w14:textId="255A472F" w:rsidR="000C7BCD" w:rsidRPr="00B2214E" w:rsidRDefault="000C7BCD" w:rsidP="00B2214E">
      <w:pPr>
        <w:pStyle w:val="DHHStablecaption"/>
        <w:rPr>
          <w:rFonts w:eastAsia="Times"/>
        </w:rPr>
      </w:pPr>
      <w:r w:rsidRPr="00B2214E">
        <w:t>Table 1: Settings</w:t>
      </w:r>
    </w:p>
    <w:tbl>
      <w:tblPr>
        <w:tblStyle w:val="TableGrid"/>
        <w:tblW w:w="0" w:type="auto"/>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Caption w:val="Table 1: Settings"/>
        <w:tblDescription w:val="Setting type, description and planning considerations for HRAR settings."/>
      </w:tblPr>
      <w:tblGrid>
        <w:gridCol w:w="1765"/>
        <w:gridCol w:w="3511"/>
        <w:gridCol w:w="5327"/>
      </w:tblGrid>
      <w:tr w:rsidR="000C7BCD" w:rsidRPr="000C7BCD" w14:paraId="4DA608ED" w14:textId="77777777" w:rsidTr="00717ED8">
        <w:trPr>
          <w:tblHeader/>
        </w:trPr>
        <w:tc>
          <w:tcPr>
            <w:tcW w:w="1806" w:type="dxa"/>
            <w:shd w:val="clear" w:color="auto" w:fill="auto"/>
          </w:tcPr>
          <w:p w14:paraId="316EA518" w14:textId="7DEC9ACB" w:rsidR="000C7BCD" w:rsidRPr="00384990" w:rsidRDefault="000C7BCD" w:rsidP="005325AE">
            <w:pPr>
              <w:pStyle w:val="DHHStablecolhead"/>
            </w:pPr>
            <w:r w:rsidRPr="00384990">
              <w:t>Setting type</w:t>
            </w:r>
          </w:p>
        </w:tc>
        <w:tc>
          <w:tcPr>
            <w:tcW w:w="4573" w:type="dxa"/>
            <w:shd w:val="clear" w:color="auto" w:fill="auto"/>
          </w:tcPr>
          <w:p w14:paraId="7CC05B89" w14:textId="77777777" w:rsidR="000C7BCD" w:rsidRPr="00384990" w:rsidRDefault="000C7BCD" w:rsidP="005325AE">
            <w:pPr>
              <w:pStyle w:val="DHHStablecolhead"/>
            </w:pPr>
            <w:r w:rsidRPr="00384990">
              <w:t>Description</w:t>
            </w:r>
          </w:p>
        </w:tc>
        <w:tc>
          <w:tcPr>
            <w:tcW w:w="7760" w:type="dxa"/>
            <w:shd w:val="clear" w:color="auto" w:fill="auto"/>
          </w:tcPr>
          <w:p w14:paraId="7A84A475" w14:textId="77777777" w:rsidR="000C7BCD" w:rsidRPr="00384990" w:rsidRDefault="000C7BCD" w:rsidP="005325AE">
            <w:pPr>
              <w:pStyle w:val="DHHStablecolhead"/>
            </w:pPr>
            <w:r w:rsidRPr="00384990">
              <w:t>Planning considerations</w:t>
            </w:r>
          </w:p>
        </w:tc>
      </w:tr>
      <w:tr w:rsidR="000C7BCD" w:rsidRPr="000C7BCD" w14:paraId="7410F816" w14:textId="77777777" w:rsidTr="00717ED8">
        <w:tc>
          <w:tcPr>
            <w:tcW w:w="1806" w:type="dxa"/>
            <w:shd w:val="clear" w:color="auto" w:fill="auto"/>
          </w:tcPr>
          <w:p w14:paraId="2BE364B9" w14:textId="176CBB20" w:rsidR="000C7BCD" w:rsidRPr="00B2214E" w:rsidRDefault="000C7BCD" w:rsidP="00B2214E">
            <w:pPr>
              <w:pStyle w:val="DHHStabletext"/>
              <w:rPr>
                <w:rStyle w:val="Strong"/>
              </w:rPr>
            </w:pPr>
            <w:r w:rsidRPr="00B2214E">
              <w:rPr>
                <w:rStyle w:val="Strong"/>
              </w:rPr>
              <w:t>High-rise and high-risk medium-rise public housing</w:t>
            </w:r>
          </w:p>
        </w:tc>
        <w:tc>
          <w:tcPr>
            <w:tcW w:w="4573" w:type="dxa"/>
            <w:shd w:val="clear" w:color="auto" w:fill="auto"/>
          </w:tcPr>
          <w:p w14:paraId="4D9BE7A5" w14:textId="77777777" w:rsidR="000C7BCD" w:rsidRPr="000C7BCD" w:rsidRDefault="000C7BCD" w:rsidP="00B2214E">
            <w:pPr>
              <w:pStyle w:val="DHHStabletext"/>
              <w:rPr>
                <w:rStyle w:val="normaltextrun"/>
                <w:rFonts w:eastAsiaTheme="minorEastAsia" w:cs="Arial"/>
                <w:color w:val="000000" w:themeColor="text1"/>
                <w:sz w:val="21"/>
                <w:szCs w:val="21"/>
              </w:rPr>
            </w:pPr>
            <w:r w:rsidRPr="000C7BCD">
              <w:rPr>
                <w:rStyle w:val="normaltextrun"/>
                <w:rFonts w:cs="Arial"/>
                <w:color w:val="000000" w:themeColor="text1"/>
                <w:sz w:val="21"/>
                <w:szCs w:val="21"/>
              </w:rPr>
              <w:t xml:space="preserve">High rise towers with multiple floors and shared amenities. Large number of residents living on site in separate residences </w:t>
            </w:r>
          </w:p>
          <w:p w14:paraId="711287FE" w14:textId="77777777" w:rsidR="000C7BCD" w:rsidRPr="000C7BCD" w:rsidRDefault="000C7BCD" w:rsidP="00B2214E">
            <w:pPr>
              <w:pStyle w:val="DHHStabletext"/>
              <w:rPr>
                <w:rStyle w:val="normaltextrun"/>
                <w:rFonts w:cs="Arial"/>
                <w:color w:val="000000" w:themeColor="text1"/>
                <w:sz w:val="21"/>
                <w:szCs w:val="21"/>
              </w:rPr>
            </w:pPr>
            <w:r w:rsidRPr="000C7BCD">
              <w:t>Multiple sh</w:t>
            </w:r>
            <w:r w:rsidRPr="000C7BCD">
              <w:rPr>
                <w:rStyle w:val="normaltextrun"/>
                <w:rFonts w:cs="Arial"/>
                <w:color w:val="000000" w:themeColor="text1"/>
                <w:sz w:val="21"/>
                <w:szCs w:val="21"/>
              </w:rPr>
              <w:t>ared areas including foyers, lifts, stairs, hallways, laundries and playgrounds</w:t>
            </w:r>
          </w:p>
          <w:p w14:paraId="6EF8206B" w14:textId="77777777" w:rsidR="000C7BCD" w:rsidRPr="000C7BCD" w:rsidRDefault="000C7BCD" w:rsidP="00B2214E">
            <w:pPr>
              <w:pStyle w:val="DHHStabletext"/>
            </w:pPr>
            <w:r w:rsidRPr="000C7BCD">
              <w:t>Consistent tenants/residents</w:t>
            </w:r>
          </w:p>
          <w:p w14:paraId="4000A088" w14:textId="77777777" w:rsidR="000C7BCD" w:rsidRPr="000C7BCD" w:rsidRDefault="000C7BCD" w:rsidP="00B2214E">
            <w:pPr>
              <w:pStyle w:val="DHHStabletext"/>
            </w:pPr>
            <w:r w:rsidRPr="000C7BCD">
              <w:t>Not staffed</w:t>
            </w:r>
          </w:p>
          <w:p w14:paraId="731B5E64" w14:textId="77777777" w:rsidR="000C7BCD" w:rsidRPr="000C7BCD" w:rsidRDefault="000C7BCD" w:rsidP="00B2214E">
            <w:pPr>
              <w:pStyle w:val="DHHStabletext"/>
            </w:pPr>
            <w:r w:rsidRPr="000C7BCD">
              <w:t>Lists of registered tenants/residents may be available</w:t>
            </w:r>
          </w:p>
        </w:tc>
        <w:tc>
          <w:tcPr>
            <w:tcW w:w="7760" w:type="dxa"/>
            <w:shd w:val="clear" w:color="auto" w:fill="auto"/>
          </w:tcPr>
          <w:p w14:paraId="7C010C20" w14:textId="77777777" w:rsidR="000C7BCD" w:rsidRPr="000C7BCD" w:rsidRDefault="000C7BCD" w:rsidP="00B2214E">
            <w:pPr>
              <w:pStyle w:val="DHHStabletext"/>
            </w:pPr>
            <w:r w:rsidRPr="000C7BCD">
              <w:t>These are accommodation only settings and do not have support staff to leverage quick engagement with residents. (although individual residents may receive support services).</w:t>
            </w:r>
          </w:p>
          <w:p w14:paraId="4F3B13BF" w14:textId="77777777" w:rsidR="000C7BCD" w:rsidRPr="000C7BCD" w:rsidRDefault="000C7BCD" w:rsidP="00B2214E">
            <w:pPr>
              <w:pStyle w:val="DHHStabletext"/>
            </w:pPr>
            <w:r w:rsidRPr="000C7BCD">
              <w:t xml:space="preserve">Resident names and contact details may not be quickly available in these settings and there is a possibility the names on the lists and tenancy agreements may not be the people living at the premises, or there may be additional people living onsite. </w:t>
            </w:r>
          </w:p>
          <w:p w14:paraId="5791164A" w14:textId="78FB52C8" w:rsidR="000C7BCD" w:rsidRPr="000C7BCD" w:rsidRDefault="000C7BCD" w:rsidP="00B2214E">
            <w:pPr>
              <w:pStyle w:val="DHHStabletext"/>
            </w:pPr>
            <w:r w:rsidRPr="000C7BCD">
              <w:t>High-rise and high-risk medium rise may require health concierge, community services, community leaders to establish contact with residents which may delay the critical early stages of outbreak management. High numbers of people from CALD communities means that a range of communication methods may be required.</w:t>
            </w:r>
          </w:p>
        </w:tc>
      </w:tr>
      <w:tr w:rsidR="000C7BCD" w:rsidRPr="000C7BCD" w14:paraId="3F17A718" w14:textId="77777777" w:rsidTr="00717ED8">
        <w:tc>
          <w:tcPr>
            <w:tcW w:w="1806" w:type="dxa"/>
            <w:shd w:val="clear" w:color="auto" w:fill="auto"/>
          </w:tcPr>
          <w:p w14:paraId="4A0A50B6" w14:textId="77777777" w:rsidR="000C7BCD" w:rsidRPr="00B2214E" w:rsidRDefault="000C7BCD" w:rsidP="00B2214E">
            <w:pPr>
              <w:pStyle w:val="DHHStabletext"/>
              <w:rPr>
                <w:rStyle w:val="Strong"/>
              </w:rPr>
            </w:pPr>
            <w:r w:rsidRPr="00B2214E">
              <w:rPr>
                <w:rStyle w:val="Strong"/>
              </w:rPr>
              <w:t>Low-rise public housing</w:t>
            </w:r>
          </w:p>
        </w:tc>
        <w:tc>
          <w:tcPr>
            <w:tcW w:w="4573" w:type="dxa"/>
            <w:shd w:val="clear" w:color="auto" w:fill="auto"/>
          </w:tcPr>
          <w:p w14:paraId="08C7458A" w14:textId="77777777" w:rsidR="000C7BCD" w:rsidRPr="000C7BCD" w:rsidRDefault="000C7BCD" w:rsidP="00B2214E">
            <w:pPr>
              <w:pStyle w:val="DHHStabletext"/>
            </w:pPr>
            <w:r w:rsidRPr="000C7BCD">
              <w:t>Buildings with few floors or may be single dwellings. Buildings may have multiple apartments and have shared facilities such as laundries, stairs, hallways, foyers and gardens.</w:t>
            </w:r>
          </w:p>
          <w:p w14:paraId="5FC3766E" w14:textId="77777777" w:rsidR="000C7BCD" w:rsidRPr="000C7BCD" w:rsidRDefault="000C7BCD" w:rsidP="00B2214E">
            <w:pPr>
              <w:pStyle w:val="DHHStabletext"/>
            </w:pPr>
            <w:r w:rsidRPr="000C7BCD">
              <w:t>Single dwellings unlikely to have shared amenities.</w:t>
            </w:r>
          </w:p>
          <w:p w14:paraId="68A335BF" w14:textId="77777777" w:rsidR="000C7BCD" w:rsidRPr="000C7BCD" w:rsidRDefault="000C7BCD" w:rsidP="00B2214E">
            <w:pPr>
              <w:pStyle w:val="DHHStabletext"/>
            </w:pPr>
            <w:r w:rsidRPr="000C7BCD">
              <w:t>Consistent tenants/residents</w:t>
            </w:r>
          </w:p>
          <w:p w14:paraId="5851CDC8" w14:textId="77777777" w:rsidR="000C7BCD" w:rsidRPr="000C7BCD" w:rsidRDefault="000C7BCD" w:rsidP="00B2214E">
            <w:pPr>
              <w:pStyle w:val="DHHStabletext"/>
            </w:pPr>
            <w:r w:rsidRPr="000C7BCD">
              <w:t>Not staffed</w:t>
            </w:r>
          </w:p>
          <w:p w14:paraId="7BDEF3A7" w14:textId="5CA3B85E" w:rsidR="000C7BCD" w:rsidRPr="000C7BCD" w:rsidRDefault="000C7BCD" w:rsidP="00B2214E">
            <w:pPr>
              <w:pStyle w:val="DHHStabletext"/>
            </w:pPr>
            <w:r w:rsidRPr="000C7BCD">
              <w:t>Lists of registered tenants/residents may be available</w:t>
            </w:r>
          </w:p>
        </w:tc>
        <w:tc>
          <w:tcPr>
            <w:tcW w:w="7760" w:type="dxa"/>
            <w:shd w:val="clear" w:color="auto" w:fill="auto"/>
          </w:tcPr>
          <w:p w14:paraId="3336415C" w14:textId="77777777" w:rsidR="000C7BCD" w:rsidRPr="000C7BCD" w:rsidRDefault="000C7BCD" w:rsidP="00B2214E">
            <w:pPr>
              <w:pStyle w:val="DHHStabletext"/>
            </w:pPr>
            <w:r w:rsidRPr="000C7BCD">
              <w:t>These are accommodation only settings or single dwellings and do not have support staff to leverage quick engagement with residents (although individual residents may receive support services).</w:t>
            </w:r>
          </w:p>
          <w:p w14:paraId="43762B48" w14:textId="77777777" w:rsidR="000C7BCD" w:rsidRPr="000C7BCD" w:rsidRDefault="000C7BCD" w:rsidP="00B2214E">
            <w:pPr>
              <w:pStyle w:val="DHHStabletext"/>
            </w:pPr>
            <w:r w:rsidRPr="000C7BCD">
              <w:t xml:space="preserve">Resident names and contact details may not be quickly available in these settings and there is a possibility the names on the lists and tenancy agreements may not be the people living at the premises, or there may be additional people living onsite. </w:t>
            </w:r>
          </w:p>
          <w:p w14:paraId="2767403A" w14:textId="77777777" w:rsidR="000C7BCD" w:rsidRPr="000C7BCD" w:rsidRDefault="000C7BCD" w:rsidP="00B2214E">
            <w:pPr>
              <w:pStyle w:val="DHHStabletext"/>
            </w:pPr>
            <w:r w:rsidRPr="000C7BCD">
              <w:t>Community service providers may need to door knock to establish contact with residents which may delay the critical early stages of outbreak management. May include many people from CALD communities, range of communications required.</w:t>
            </w:r>
          </w:p>
        </w:tc>
      </w:tr>
      <w:tr w:rsidR="000C7BCD" w:rsidRPr="000C7BCD" w14:paraId="2DE3AD84" w14:textId="77777777" w:rsidTr="00717ED8">
        <w:tc>
          <w:tcPr>
            <w:tcW w:w="1806" w:type="dxa"/>
            <w:shd w:val="clear" w:color="auto" w:fill="auto"/>
          </w:tcPr>
          <w:p w14:paraId="09721C23" w14:textId="77777777" w:rsidR="000C7BCD" w:rsidRPr="00B2214E" w:rsidRDefault="000C7BCD" w:rsidP="00B2214E">
            <w:pPr>
              <w:pStyle w:val="DHHStabletext"/>
              <w:rPr>
                <w:rStyle w:val="Strong"/>
              </w:rPr>
            </w:pPr>
            <w:r w:rsidRPr="00B2214E">
              <w:rPr>
                <w:rStyle w:val="Strong"/>
              </w:rPr>
              <w:t>Supported Residential Services SRS</w:t>
            </w:r>
          </w:p>
        </w:tc>
        <w:tc>
          <w:tcPr>
            <w:tcW w:w="4573" w:type="dxa"/>
            <w:shd w:val="clear" w:color="auto" w:fill="auto"/>
          </w:tcPr>
          <w:p w14:paraId="79AE2B13" w14:textId="77777777" w:rsidR="000C7BCD" w:rsidRPr="000C7BCD" w:rsidRDefault="000C7BCD" w:rsidP="00B2214E">
            <w:pPr>
              <w:pStyle w:val="DHHStabletext"/>
            </w:pPr>
            <w:r w:rsidRPr="000C7BCD">
              <w:rPr>
                <w:rStyle w:val="normaltextrun"/>
                <w:rFonts w:cs="Arial"/>
                <w:color w:val="000000"/>
                <w:sz w:val="21"/>
                <w:szCs w:val="21"/>
              </w:rPr>
              <w:t>Facilities are privately owned and operated</w:t>
            </w:r>
            <w:r w:rsidRPr="000C7BCD">
              <w:rPr>
                <w:rStyle w:val="eop"/>
                <w:rFonts w:eastAsia="Times" w:cs="Arial"/>
                <w:color w:val="000000"/>
                <w:sz w:val="21"/>
                <w:szCs w:val="21"/>
              </w:rPr>
              <w:t> </w:t>
            </w:r>
          </w:p>
          <w:p w14:paraId="29B7793B" w14:textId="77777777" w:rsidR="000C7BCD" w:rsidRPr="000C7BCD" w:rsidRDefault="000C7BCD" w:rsidP="00B2214E">
            <w:pPr>
              <w:pStyle w:val="DHHStabletext"/>
              <w:rPr>
                <w:rStyle w:val="normaltextrun"/>
                <w:rFonts w:cs="Arial"/>
                <w:sz w:val="21"/>
                <w:szCs w:val="21"/>
              </w:rPr>
            </w:pPr>
            <w:r w:rsidRPr="000C7BCD">
              <w:rPr>
                <w:rStyle w:val="normaltextrun"/>
                <w:rFonts w:cs="Arial"/>
                <w:color w:val="000000" w:themeColor="text1"/>
                <w:sz w:val="21"/>
                <w:szCs w:val="21"/>
              </w:rPr>
              <w:t xml:space="preserve">Most have shared bedrooms and bathrooms and all SRS have shared dining and lounge areas. </w:t>
            </w:r>
          </w:p>
          <w:p w14:paraId="7EB293B0" w14:textId="77777777" w:rsidR="000C7BCD" w:rsidRPr="000C7BCD" w:rsidRDefault="000C7BCD" w:rsidP="00B2214E">
            <w:pPr>
              <w:pStyle w:val="DHHStabletext"/>
            </w:pPr>
            <w:r w:rsidRPr="000C7BCD">
              <w:lastRenderedPageBreak/>
              <w:t>Some SRSs that accommodate older residents have individual bedrooms with ensuites.</w:t>
            </w:r>
          </w:p>
          <w:p w14:paraId="23D8BD2D" w14:textId="77777777" w:rsidR="000C7BCD" w:rsidRPr="000C7BCD" w:rsidRDefault="000C7BCD" w:rsidP="00B2214E">
            <w:pPr>
              <w:pStyle w:val="DHHStabletext"/>
              <w:rPr>
                <w:rStyle w:val="normaltextrun"/>
                <w:rFonts w:cs="Arial"/>
                <w:sz w:val="21"/>
                <w:szCs w:val="21"/>
              </w:rPr>
            </w:pPr>
            <w:r w:rsidRPr="000C7BCD">
              <w:rPr>
                <w:rStyle w:val="normaltextrun"/>
                <w:rFonts w:cs="Arial"/>
                <w:color w:val="000000"/>
                <w:sz w:val="21"/>
                <w:szCs w:val="21"/>
              </w:rPr>
              <w:t>Low staffing levels (legislation requires 1:30), 24 hours a day</w:t>
            </w:r>
          </w:p>
          <w:p w14:paraId="4CDE331A" w14:textId="77777777" w:rsidR="000C7BCD" w:rsidRPr="000C7BCD" w:rsidRDefault="000C7BCD" w:rsidP="00B2214E">
            <w:pPr>
              <w:pStyle w:val="DHHStabletext"/>
              <w:rPr>
                <w:color w:val="000000"/>
              </w:rPr>
            </w:pPr>
            <w:r w:rsidRPr="000C7BCD">
              <w:rPr>
                <w:rStyle w:val="normaltextrun"/>
                <w:rFonts w:cs="Arial"/>
                <w:color w:val="000000"/>
                <w:sz w:val="21"/>
                <w:szCs w:val="21"/>
              </w:rPr>
              <w:t>Low-medium resident turnover</w:t>
            </w:r>
          </w:p>
        </w:tc>
        <w:tc>
          <w:tcPr>
            <w:tcW w:w="7760" w:type="dxa"/>
            <w:shd w:val="clear" w:color="auto" w:fill="auto"/>
          </w:tcPr>
          <w:p w14:paraId="035B386D" w14:textId="77777777" w:rsidR="000C7BCD" w:rsidRPr="000C7BCD" w:rsidRDefault="000C7BCD" w:rsidP="00B2214E">
            <w:pPr>
              <w:pStyle w:val="DHHStabletext"/>
            </w:pPr>
            <w:r w:rsidRPr="000C7BCD">
              <w:lastRenderedPageBreak/>
              <w:t>Settings are staffed and therefore information about who is living at the facility can be quickly obtained, including any support and communication needs. Staff are enablers for the sustainability of IPC measures within the facility.</w:t>
            </w:r>
          </w:p>
          <w:p w14:paraId="5D90681D" w14:textId="77777777" w:rsidR="000C7BCD" w:rsidRPr="000C7BCD" w:rsidRDefault="000C7BCD" w:rsidP="00B2214E">
            <w:pPr>
              <w:pStyle w:val="DHHStabletext"/>
            </w:pPr>
            <w:r w:rsidRPr="000C7BCD">
              <w:lastRenderedPageBreak/>
              <w:t xml:space="preserve">In the event of an outbreak SRS and disability staff can quickly provide necessary information about residents and their health and support needs. </w:t>
            </w:r>
          </w:p>
          <w:p w14:paraId="07F71B6C" w14:textId="77777777" w:rsidR="000C7BCD" w:rsidRPr="000C7BCD" w:rsidRDefault="000C7BCD" w:rsidP="00B2214E">
            <w:pPr>
              <w:pStyle w:val="DHHStabletext"/>
              <w:rPr>
                <w:color w:val="000000"/>
              </w:rPr>
            </w:pPr>
            <w:r w:rsidRPr="000C7BCD">
              <w:t>Staff can also support residents to comply with testing requests and public health directions and be a conduit for information flow between residents and who is this referring to Resident support plans record health and support needs and provider contact information.</w:t>
            </w:r>
            <w:r w:rsidRPr="000C7BCD">
              <w:rPr>
                <w:rStyle w:val="normaltextrun"/>
                <w:rFonts w:cs="Arial"/>
                <w:color w:val="000000"/>
                <w:sz w:val="21"/>
                <w:szCs w:val="21"/>
              </w:rPr>
              <w:t xml:space="preserve"> </w:t>
            </w:r>
          </w:p>
        </w:tc>
      </w:tr>
      <w:tr w:rsidR="000C7BCD" w:rsidRPr="000C7BCD" w14:paraId="4FB8E3D8" w14:textId="77777777" w:rsidTr="00717ED8">
        <w:tc>
          <w:tcPr>
            <w:tcW w:w="1806" w:type="dxa"/>
            <w:shd w:val="clear" w:color="auto" w:fill="auto"/>
          </w:tcPr>
          <w:p w14:paraId="12846C09" w14:textId="77777777" w:rsidR="000C7BCD" w:rsidRPr="00B2214E" w:rsidRDefault="000C7BCD" w:rsidP="00B2214E">
            <w:pPr>
              <w:pStyle w:val="DHHStabletext"/>
              <w:rPr>
                <w:rStyle w:val="Strong"/>
              </w:rPr>
            </w:pPr>
            <w:r w:rsidRPr="00B2214E">
              <w:rPr>
                <w:rStyle w:val="Strong"/>
              </w:rPr>
              <w:lastRenderedPageBreak/>
              <w:t>Disability residential accommodation</w:t>
            </w:r>
          </w:p>
        </w:tc>
        <w:tc>
          <w:tcPr>
            <w:tcW w:w="4573" w:type="dxa"/>
            <w:shd w:val="clear" w:color="auto" w:fill="auto"/>
          </w:tcPr>
          <w:p w14:paraId="7D3148E4" w14:textId="77777777" w:rsidR="000C7BCD" w:rsidRPr="000C7BCD" w:rsidRDefault="000C7BCD" w:rsidP="00B2214E">
            <w:pPr>
              <w:pStyle w:val="DHHStabletext"/>
              <w:rPr>
                <w:rStyle w:val="normaltextrun"/>
                <w:rFonts w:cs="Arial"/>
                <w:sz w:val="21"/>
                <w:szCs w:val="21"/>
              </w:rPr>
            </w:pPr>
            <w:r w:rsidRPr="000C7BCD">
              <w:rPr>
                <w:rStyle w:val="normaltextrun"/>
                <w:rFonts w:cs="Arial"/>
                <w:sz w:val="21"/>
                <w:szCs w:val="21"/>
              </w:rPr>
              <w:t xml:space="preserve">Shared accommodation for people with disability (average 5 residents) </w:t>
            </w:r>
          </w:p>
          <w:p w14:paraId="66C658CC" w14:textId="77777777" w:rsidR="000C7BCD" w:rsidRPr="000C7BCD" w:rsidRDefault="000C7BCD" w:rsidP="00B2214E">
            <w:pPr>
              <w:pStyle w:val="DHHStabletext"/>
              <w:rPr>
                <w:rStyle w:val="normaltextrun"/>
                <w:rFonts w:cs="Arial"/>
                <w:sz w:val="21"/>
                <w:szCs w:val="21"/>
              </w:rPr>
            </w:pPr>
            <w:r w:rsidRPr="000C7BCD">
              <w:rPr>
                <w:rStyle w:val="normaltextrun"/>
                <w:rFonts w:cs="Arial"/>
                <w:sz w:val="21"/>
                <w:szCs w:val="21"/>
              </w:rPr>
              <w:t>Residents have their own bedroom but share all other areas (kitchen, bathrooms etc)</w:t>
            </w:r>
          </w:p>
          <w:p w14:paraId="6249819E" w14:textId="77777777" w:rsidR="000C7BCD" w:rsidRPr="000C7BCD" w:rsidRDefault="000C7BCD" w:rsidP="00B2214E">
            <w:pPr>
              <w:pStyle w:val="DHHStabletext"/>
              <w:rPr>
                <w:rStyle w:val="normaltextrun"/>
                <w:rFonts w:cs="Arial"/>
                <w:sz w:val="21"/>
                <w:szCs w:val="21"/>
              </w:rPr>
            </w:pPr>
            <w:r w:rsidRPr="000C7BCD">
              <w:rPr>
                <w:rStyle w:val="normaltextrun"/>
                <w:rFonts w:cs="Arial"/>
                <w:sz w:val="21"/>
                <w:szCs w:val="21"/>
              </w:rPr>
              <w:t>Staffing:</w:t>
            </w:r>
          </w:p>
          <w:p w14:paraId="38FE7FBD" w14:textId="77777777" w:rsidR="000C7BCD" w:rsidRPr="000C7BCD" w:rsidRDefault="000C7BCD" w:rsidP="00B2214E">
            <w:pPr>
              <w:pStyle w:val="Bullet1"/>
            </w:pPr>
            <w:r w:rsidRPr="000C7BCD">
              <w:rPr>
                <w:rStyle w:val="normaltextrun"/>
                <w:rFonts w:cs="Arial"/>
                <w:sz w:val="21"/>
                <w:szCs w:val="21"/>
              </w:rPr>
              <w:t>Specialist Disability Accommodation has full time staffing</w:t>
            </w:r>
            <w:r w:rsidRPr="000C7BCD">
              <w:rPr>
                <w:rStyle w:val="eop"/>
                <w:rFonts w:cs="Arial"/>
                <w:sz w:val="21"/>
                <w:szCs w:val="21"/>
              </w:rPr>
              <w:t> </w:t>
            </w:r>
          </w:p>
          <w:p w14:paraId="16773A5F" w14:textId="77777777" w:rsidR="000C7BCD" w:rsidRPr="000C7BCD" w:rsidRDefault="000C7BCD" w:rsidP="00B2214E">
            <w:pPr>
              <w:pStyle w:val="Bullet1"/>
              <w:rPr>
                <w:rStyle w:val="normaltextrun"/>
                <w:rFonts w:cs="Arial"/>
                <w:sz w:val="21"/>
                <w:szCs w:val="21"/>
              </w:rPr>
            </w:pPr>
            <w:r w:rsidRPr="000C7BCD">
              <w:rPr>
                <w:rStyle w:val="normaltextrun"/>
                <w:rFonts w:cs="Arial"/>
                <w:sz w:val="21"/>
                <w:szCs w:val="21"/>
              </w:rPr>
              <w:t xml:space="preserve">Staffing for properties registered for Supported Independent Living depends on the needs of residents and may not be 24/hr </w:t>
            </w:r>
          </w:p>
          <w:p w14:paraId="770717A4" w14:textId="77777777" w:rsidR="000C7BCD" w:rsidRPr="000C7BCD" w:rsidRDefault="000C7BCD" w:rsidP="00B2214E">
            <w:pPr>
              <w:pStyle w:val="DHHStabletext"/>
            </w:pPr>
            <w:r w:rsidRPr="000C7BCD">
              <w:rPr>
                <w:rStyle w:val="normaltextrun"/>
                <w:rFonts w:cs="Arial"/>
                <w:sz w:val="21"/>
                <w:szCs w:val="21"/>
              </w:rPr>
              <w:t>Low resident turnover</w:t>
            </w:r>
          </w:p>
        </w:tc>
        <w:tc>
          <w:tcPr>
            <w:tcW w:w="7760" w:type="dxa"/>
            <w:shd w:val="clear" w:color="auto" w:fill="auto"/>
          </w:tcPr>
          <w:p w14:paraId="6622D334" w14:textId="77777777" w:rsidR="000C7BCD" w:rsidRPr="000C7BCD" w:rsidRDefault="000C7BCD" w:rsidP="00B2214E">
            <w:pPr>
              <w:pStyle w:val="DHHStabletext"/>
            </w:pPr>
            <w:r w:rsidRPr="000C7BCD">
              <w:t>Settings are staffed and therefore information about who is living at the facility can be quickly obtained, including any support and communication needs.</w:t>
            </w:r>
          </w:p>
          <w:p w14:paraId="610D6FFE" w14:textId="77777777" w:rsidR="000C7BCD" w:rsidRPr="000C7BCD" w:rsidRDefault="000C7BCD" w:rsidP="00B2214E">
            <w:pPr>
              <w:pStyle w:val="DHHStabletext"/>
            </w:pPr>
            <w:r w:rsidRPr="000C7BCD">
              <w:t>Staff are enablers for the sustainability of IPC measures within the facility.</w:t>
            </w:r>
          </w:p>
          <w:p w14:paraId="5B8E5803" w14:textId="77777777" w:rsidR="000C7BCD" w:rsidRPr="000C7BCD" w:rsidRDefault="000C7BCD" w:rsidP="00B2214E">
            <w:pPr>
              <w:pStyle w:val="DHHStabletext"/>
            </w:pPr>
            <w:r w:rsidRPr="000C7BCD">
              <w:t xml:space="preserve">In the event of an outbreak, disability staff can quickly provide necessary information about residents and their health and support needs. </w:t>
            </w:r>
          </w:p>
          <w:p w14:paraId="7ED344C7" w14:textId="77777777" w:rsidR="000C7BCD" w:rsidRPr="000C7BCD" w:rsidRDefault="000C7BCD" w:rsidP="00B2214E">
            <w:pPr>
              <w:pStyle w:val="DHHStabletext"/>
            </w:pPr>
            <w:r w:rsidRPr="000C7BCD">
              <w:t>Staff can also support residents to comply with testing requests and public health directions and be a conduit for information flow between residents and public health directions. Note that issues of consent need to be considered</w:t>
            </w:r>
          </w:p>
          <w:p w14:paraId="0A027065" w14:textId="77777777" w:rsidR="000C7BCD" w:rsidRPr="000C7BCD" w:rsidRDefault="000C7BCD" w:rsidP="00B2214E">
            <w:pPr>
              <w:pStyle w:val="DHHStabletext"/>
              <w:rPr>
                <w:rStyle w:val="normaltextrun"/>
                <w:rFonts w:cs="Arial"/>
                <w:sz w:val="21"/>
                <w:szCs w:val="21"/>
              </w:rPr>
            </w:pPr>
            <w:r w:rsidRPr="000C7BCD">
              <w:rPr>
                <w:rStyle w:val="normaltextrun"/>
                <w:rFonts w:cs="Arial"/>
                <w:sz w:val="21"/>
                <w:szCs w:val="21"/>
              </w:rPr>
              <w:t>Many residents have impacted cognitive function</w:t>
            </w:r>
          </w:p>
          <w:p w14:paraId="1A9E8DF6" w14:textId="77777777" w:rsidR="000C7BCD" w:rsidRPr="000C7BCD" w:rsidRDefault="000C7BCD" w:rsidP="00B2214E">
            <w:pPr>
              <w:pStyle w:val="DHHStabletext"/>
            </w:pPr>
            <w:r w:rsidRPr="000C7BCD">
              <w:rPr>
                <w:rStyle w:val="normaltextrun"/>
                <w:rFonts w:cs="Arial"/>
                <w:sz w:val="21"/>
                <w:szCs w:val="21"/>
              </w:rPr>
              <w:t>NDIS and transferred accommodation have client care and behaviour support plans</w:t>
            </w:r>
          </w:p>
        </w:tc>
      </w:tr>
      <w:tr w:rsidR="000C7BCD" w:rsidRPr="000C7BCD" w14:paraId="67098863" w14:textId="77777777" w:rsidTr="00717ED8">
        <w:tc>
          <w:tcPr>
            <w:tcW w:w="1806" w:type="dxa"/>
            <w:shd w:val="clear" w:color="auto" w:fill="auto"/>
          </w:tcPr>
          <w:p w14:paraId="0309A845" w14:textId="77777777" w:rsidR="000C7BCD" w:rsidRPr="00B2214E" w:rsidRDefault="000C7BCD" w:rsidP="00B2214E">
            <w:pPr>
              <w:pStyle w:val="DHHStabletext"/>
              <w:rPr>
                <w:rStyle w:val="Strong"/>
              </w:rPr>
            </w:pPr>
            <w:r w:rsidRPr="00B2214E">
              <w:rPr>
                <w:rStyle w:val="Strong"/>
              </w:rPr>
              <w:t>Caravan Parks</w:t>
            </w:r>
          </w:p>
        </w:tc>
        <w:tc>
          <w:tcPr>
            <w:tcW w:w="4573" w:type="dxa"/>
            <w:shd w:val="clear" w:color="auto" w:fill="auto"/>
          </w:tcPr>
          <w:p w14:paraId="24890788" w14:textId="77777777" w:rsidR="000C7BCD" w:rsidRPr="000C7BCD" w:rsidRDefault="000C7BCD" w:rsidP="00B2214E">
            <w:pPr>
              <w:pStyle w:val="DHHStabletext"/>
            </w:pPr>
            <w:r w:rsidRPr="000C7BCD">
              <w:t>Some caravans or movable dwellings will be fully self-contained although many long stay residents will live with basic amenities (kitchenette) and use shared site amenities (toilets, bathrooms, showers, BBQs, seating, gardens and grounds).</w:t>
            </w:r>
          </w:p>
          <w:p w14:paraId="37F2A32F" w14:textId="77777777" w:rsidR="000C7BCD" w:rsidRPr="000C7BCD" w:rsidRDefault="000C7BCD" w:rsidP="00B2214E">
            <w:pPr>
              <w:pStyle w:val="DHHStabletext"/>
            </w:pPr>
            <w:r w:rsidRPr="000C7BCD">
              <w:t>Not staffed- accommodation only – staff provide park management (no support staff)</w:t>
            </w:r>
          </w:p>
          <w:p w14:paraId="0E889ACF" w14:textId="0FE4D5C7" w:rsidR="000C7BCD" w:rsidRPr="000C7BCD" w:rsidRDefault="000C7BCD" w:rsidP="00B2214E">
            <w:pPr>
              <w:pStyle w:val="DHHStabletext"/>
            </w:pPr>
            <w:r w:rsidRPr="000C7BCD">
              <w:t>Some long-term residents, some short term, vacationers.</w:t>
            </w:r>
          </w:p>
        </w:tc>
        <w:tc>
          <w:tcPr>
            <w:tcW w:w="7760" w:type="dxa"/>
            <w:shd w:val="clear" w:color="auto" w:fill="auto"/>
          </w:tcPr>
          <w:p w14:paraId="29A7B05F" w14:textId="77777777" w:rsidR="000C7BCD" w:rsidRPr="000C7BCD" w:rsidRDefault="000C7BCD" w:rsidP="00B2214E">
            <w:pPr>
              <w:pStyle w:val="DHHStabletext"/>
            </w:pPr>
            <w:r w:rsidRPr="000C7BCD">
              <w:t>These are accommodation only settings with an onsite proprietor. They do not have support staff (although individual residents may receive support services) to leverage quick engagement with residents.</w:t>
            </w:r>
          </w:p>
          <w:p w14:paraId="2125F6B1" w14:textId="77777777" w:rsidR="000C7BCD" w:rsidRPr="000C7BCD" w:rsidRDefault="000C7BCD" w:rsidP="00B2214E">
            <w:pPr>
              <w:pStyle w:val="DHHStabletext"/>
            </w:pPr>
            <w:r w:rsidRPr="000C7BCD">
              <w:t xml:space="preserve">Residents may be a mix of long term and short term/vacationers. Resident names and contact details may not be quickly available in these settings and there is a possibility the names on the lists and tenancy agreements may not be the people living at the premises, or there may be additional people living onsite. </w:t>
            </w:r>
          </w:p>
          <w:p w14:paraId="4875B765" w14:textId="77777777" w:rsidR="000C7BCD" w:rsidRPr="000C7BCD" w:rsidRDefault="000C7BCD" w:rsidP="00B2214E">
            <w:pPr>
              <w:pStyle w:val="DHHStabletext"/>
            </w:pPr>
            <w:r w:rsidRPr="000C7BCD">
              <w:t>Community service providers may need to door knock to establish contact with residents which may delay the critical early stages of outbreak management. Focus would be on engaging with longer term residents and proprietors</w:t>
            </w:r>
          </w:p>
        </w:tc>
      </w:tr>
      <w:tr w:rsidR="000C7BCD" w:rsidRPr="000C7BCD" w14:paraId="555D0E34" w14:textId="77777777" w:rsidTr="00717ED8">
        <w:tc>
          <w:tcPr>
            <w:tcW w:w="1806" w:type="dxa"/>
            <w:shd w:val="clear" w:color="auto" w:fill="auto"/>
          </w:tcPr>
          <w:p w14:paraId="73C230FA" w14:textId="77777777" w:rsidR="000C7BCD" w:rsidRPr="00B2214E" w:rsidRDefault="000C7BCD" w:rsidP="00B2214E">
            <w:pPr>
              <w:pStyle w:val="DHHStabletext"/>
              <w:rPr>
                <w:rStyle w:val="Strong"/>
              </w:rPr>
            </w:pPr>
            <w:r w:rsidRPr="00B2214E">
              <w:rPr>
                <w:rStyle w:val="Strong"/>
              </w:rPr>
              <w:t>Community Housing</w:t>
            </w:r>
          </w:p>
        </w:tc>
        <w:tc>
          <w:tcPr>
            <w:tcW w:w="4573" w:type="dxa"/>
            <w:shd w:val="clear" w:color="auto" w:fill="auto"/>
          </w:tcPr>
          <w:p w14:paraId="7BDDE00D" w14:textId="77777777" w:rsidR="000C7BCD" w:rsidRPr="000C7BCD" w:rsidRDefault="000C7BCD" w:rsidP="00B2214E">
            <w:pPr>
              <w:pStyle w:val="DHHStabletext"/>
              <w:rPr>
                <w:color w:val="000000"/>
              </w:rPr>
            </w:pPr>
            <w:r w:rsidRPr="000C7BCD">
              <w:rPr>
                <w:color w:val="000000"/>
              </w:rPr>
              <w:t>Operated by not-for-profit community housing organisations</w:t>
            </w:r>
          </w:p>
          <w:p w14:paraId="09E94F08" w14:textId="77777777" w:rsidR="000C7BCD" w:rsidRPr="000C7BCD" w:rsidRDefault="000C7BCD" w:rsidP="00B2214E">
            <w:pPr>
              <w:pStyle w:val="DHHStabletext"/>
              <w:rPr>
                <w:color w:val="000000"/>
              </w:rPr>
            </w:pPr>
            <w:r w:rsidRPr="000C7BCD">
              <w:rPr>
                <w:color w:val="000000"/>
              </w:rPr>
              <w:t>Residents live in separate dwellings</w:t>
            </w:r>
          </w:p>
          <w:p w14:paraId="5689A691" w14:textId="77777777" w:rsidR="000C7BCD" w:rsidRPr="000C7BCD" w:rsidRDefault="000C7BCD" w:rsidP="00B2214E">
            <w:pPr>
              <w:pStyle w:val="DHHStabletext"/>
              <w:rPr>
                <w:rStyle w:val="normaltextrun"/>
                <w:rFonts w:cs="Arial"/>
                <w:color w:val="000000" w:themeColor="text1"/>
                <w:sz w:val="21"/>
                <w:szCs w:val="21"/>
              </w:rPr>
            </w:pPr>
            <w:r w:rsidRPr="000C7BCD">
              <w:rPr>
                <w:rStyle w:val="eop"/>
                <w:rFonts w:eastAsia="Times" w:cs="Arial"/>
                <w:color w:val="000000" w:themeColor="text1"/>
                <w:sz w:val="21"/>
                <w:szCs w:val="21"/>
              </w:rPr>
              <w:t xml:space="preserve">Often </w:t>
            </w:r>
            <w:r w:rsidRPr="000C7BCD">
              <w:rPr>
                <w:rStyle w:val="normaltextrun"/>
                <w:rFonts w:cs="Arial"/>
                <w:color w:val="000000" w:themeColor="text1"/>
                <w:sz w:val="21"/>
                <w:szCs w:val="21"/>
              </w:rPr>
              <w:t>tenanted by large families (5 or more people)</w:t>
            </w:r>
            <w:r w:rsidRPr="000C7BCD">
              <w:rPr>
                <w:rStyle w:val="eop"/>
                <w:rFonts w:eastAsia="Times" w:cs="Arial"/>
                <w:color w:val="000000" w:themeColor="text1"/>
                <w:sz w:val="21"/>
                <w:szCs w:val="21"/>
              </w:rPr>
              <w:t> or b</w:t>
            </w:r>
            <w:r w:rsidRPr="000C7BCD">
              <w:rPr>
                <w:rStyle w:val="normaltextrun"/>
                <w:rFonts w:cs="Arial"/>
                <w:color w:val="000000" w:themeColor="text1"/>
                <w:sz w:val="21"/>
                <w:szCs w:val="21"/>
              </w:rPr>
              <w:t>y people not registered on the lease</w:t>
            </w:r>
          </w:p>
          <w:p w14:paraId="79C7FF82" w14:textId="58E9EEC9" w:rsidR="000C7BCD" w:rsidRPr="000C7BCD" w:rsidRDefault="000C7BCD" w:rsidP="00B2214E">
            <w:pPr>
              <w:pStyle w:val="DHHStabletext"/>
            </w:pPr>
            <w:r w:rsidRPr="000C7BCD">
              <w:rPr>
                <w:rStyle w:val="normaltextrun"/>
                <w:rFonts w:cs="Arial"/>
                <w:color w:val="000000" w:themeColor="text1"/>
                <w:sz w:val="21"/>
                <w:szCs w:val="21"/>
              </w:rPr>
              <w:t xml:space="preserve">Can be multi storied with shared corridors, lifts, laundries, playgrounds, yards and BBQs. Not staffed. </w:t>
            </w:r>
            <w:r w:rsidRPr="000C7BCD">
              <w:rPr>
                <w:rStyle w:val="normaltextrun"/>
                <w:rFonts w:cs="Arial"/>
                <w:sz w:val="21"/>
                <w:szCs w:val="21"/>
              </w:rPr>
              <w:t>Low resident turnover</w:t>
            </w:r>
          </w:p>
        </w:tc>
        <w:tc>
          <w:tcPr>
            <w:tcW w:w="7760" w:type="dxa"/>
            <w:shd w:val="clear" w:color="auto" w:fill="auto"/>
          </w:tcPr>
          <w:p w14:paraId="08A22194" w14:textId="77777777" w:rsidR="000C7BCD" w:rsidRPr="000C7BCD" w:rsidRDefault="000C7BCD" w:rsidP="00B2214E">
            <w:pPr>
              <w:pStyle w:val="DHHStabletext"/>
            </w:pPr>
            <w:r w:rsidRPr="000C7BCD">
              <w:t>These are accommodation only settings or single dwellings therefore they do not have support staff (although individual residents may receive support services) to leverage quick engagement with residents.</w:t>
            </w:r>
          </w:p>
          <w:p w14:paraId="4EEEEE47" w14:textId="77777777" w:rsidR="000C7BCD" w:rsidRPr="000C7BCD" w:rsidRDefault="000C7BCD" w:rsidP="00B2214E">
            <w:pPr>
              <w:pStyle w:val="DHHStabletext"/>
            </w:pPr>
            <w:r w:rsidRPr="000C7BCD">
              <w:t xml:space="preserve">Resident names and contact details may not be quickly available in these settings and there is a possibility the names on the lists and tenancy agreements may not be the people living at the premises, or there may be additional people living onsite. </w:t>
            </w:r>
          </w:p>
          <w:p w14:paraId="3F37E685" w14:textId="77777777" w:rsidR="000C7BCD" w:rsidRPr="000C7BCD" w:rsidRDefault="000C7BCD" w:rsidP="00B2214E">
            <w:pPr>
              <w:pStyle w:val="DHHStabletext"/>
            </w:pPr>
            <w:r w:rsidRPr="000C7BCD">
              <w:t>Community service providers may need to door knock to establish contact with residents which may delay the critical early stages of outbreak management.</w:t>
            </w:r>
          </w:p>
          <w:p w14:paraId="5E935627" w14:textId="77777777" w:rsidR="000C7BCD" w:rsidRPr="000C7BCD" w:rsidRDefault="000C7BCD" w:rsidP="00B2214E">
            <w:pPr>
              <w:pStyle w:val="DHHStabletext"/>
            </w:pPr>
            <w:r w:rsidRPr="000C7BCD">
              <w:t>May include many people from CALD communities, range of communications required.</w:t>
            </w:r>
          </w:p>
        </w:tc>
      </w:tr>
      <w:tr w:rsidR="000C7BCD" w:rsidRPr="000C7BCD" w14:paraId="3C98BF22" w14:textId="77777777" w:rsidTr="00717ED8">
        <w:tc>
          <w:tcPr>
            <w:tcW w:w="1806" w:type="dxa"/>
            <w:shd w:val="clear" w:color="auto" w:fill="auto"/>
          </w:tcPr>
          <w:p w14:paraId="6DF6BA47" w14:textId="77777777" w:rsidR="000C7BCD" w:rsidRPr="00B2214E" w:rsidRDefault="000C7BCD" w:rsidP="00B2214E">
            <w:pPr>
              <w:pStyle w:val="DHHStabletext"/>
              <w:rPr>
                <w:rStyle w:val="Strong"/>
              </w:rPr>
            </w:pPr>
            <w:r w:rsidRPr="00B2214E">
              <w:rPr>
                <w:rStyle w:val="Strong"/>
              </w:rPr>
              <w:lastRenderedPageBreak/>
              <w:t>Rooming Houses</w:t>
            </w:r>
          </w:p>
        </w:tc>
        <w:tc>
          <w:tcPr>
            <w:tcW w:w="4573" w:type="dxa"/>
            <w:shd w:val="clear" w:color="auto" w:fill="auto"/>
          </w:tcPr>
          <w:p w14:paraId="2D552A62" w14:textId="77777777" w:rsidR="000C7BCD" w:rsidRPr="000C7BCD" w:rsidRDefault="000C7BCD" w:rsidP="00B2214E">
            <w:pPr>
              <w:pStyle w:val="DHHStabletext"/>
              <w:rPr>
                <w:rStyle w:val="normaltextrun"/>
                <w:rFonts w:cs="Arial"/>
                <w:color w:val="000000"/>
                <w:sz w:val="21"/>
                <w:szCs w:val="21"/>
              </w:rPr>
            </w:pPr>
            <w:r w:rsidRPr="000C7BCD">
              <w:rPr>
                <w:rStyle w:val="normaltextrun"/>
                <w:rFonts w:cs="Arial"/>
                <w:color w:val="000000"/>
                <w:sz w:val="21"/>
                <w:szCs w:val="21"/>
              </w:rPr>
              <w:t xml:space="preserve">Privately owned and operated or operated by Community Housing Associations </w:t>
            </w:r>
          </w:p>
          <w:p w14:paraId="3747BD5B" w14:textId="77777777" w:rsidR="000C7BCD" w:rsidRPr="000C7BCD" w:rsidRDefault="000C7BCD" w:rsidP="00B2214E">
            <w:pPr>
              <w:pStyle w:val="DHHStabletext"/>
            </w:pPr>
            <w:r w:rsidRPr="000C7BCD">
              <w:rPr>
                <w:rStyle w:val="normaltextrun"/>
                <w:rFonts w:cs="Arial"/>
                <w:color w:val="000000" w:themeColor="text1"/>
                <w:sz w:val="21"/>
                <w:szCs w:val="21"/>
              </w:rPr>
              <w:t xml:space="preserve">Some unregistered people may also live at the premises </w:t>
            </w:r>
            <w:r w:rsidRPr="000C7BCD">
              <w:rPr>
                <w:rStyle w:val="normaltextrun"/>
                <w:rFonts w:cs="Arial"/>
                <w:color w:val="000000"/>
                <w:sz w:val="21"/>
                <w:szCs w:val="21"/>
              </w:rPr>
              <w:t xml:space="preserve"> </w:t>
            </w:r>
          </w:p>
          <w:p w14:paraId="56381809" w14:textId="77777777" w:rsidR="000C7BCD" w:rsidRPr="000C7BCD" w:rsidRDefault="000C7BCD" w:rsidP="00B2214E">
            <w:pPr>
              <w:pStyle w:val="DHHStabletext"/>
              <w:rPr>
                <w:rStyle w:val="normaltextrun"/>
                <w:rFonts w:cs="Arial"/>
                <w:color w:val="000000"/>
                <w:sz w:val="21"/>
                <w:szCs w:val="21"/>
              </w:rPr>
            </w:pPr>
            <w:r w:rsidRPr="000C7BCD">
              <w:rPr>
                <w:rStyle w:val="normaltextrun"/>
                <w:rFonts w:cs="Arial"/>
                <w:color w:val="000000"/>
                <w:sz w:val="21"/>
                <w:szCs w:val="21"/>
              </w:rPr>
              <w:t>Residents may have their own bedrooms, but, in general, all other rooms are shared</w:t>
            </w:r>
          </w:p>
          <w:p w14:paraId="40FEF227" w14:textId="77777777" w:rsidR="000C7BCD" w:rsidRPr="000C7BCD" w:rsidRDefault="000C7BCD" w:rsidP="00B2214E">
            <w:pPr>
              <w:pStyle w:val="DHHStabletext"/>
              <w:rPr>
                <w:rStyle w:val="normaltextrun"/>
                <w:rFonts w:cs="Arial"/>
                <w:color w:val="000000"/>
                <w:sz w:val="21"/>
                <w:szCs w:val="21"/>
              </w:rPr>
            </w:pPr>
            <w:r w:rsidRPr="000C7BCD">
              <w:rPr>
                <w:rStyle w:val="normaltextrun"/>
                <w:rFonts w:cs="Arial"/>
                <w:color w:val="000000"/>
                <w:sz w:val="21"/>
                <w:szCs w:val="21"/>
              </w:rPr>
              <w:t>Not staffed but may have proprietors or onsite managers</w:t>
            </w:r>
          </w:p>
          <w:p w14:paraId="0F9C96B1" w14:textId="77777777" w:rsidR="000C7BCD" w:rsidRPr="000C7BCD" w:rsidRDefault="000C7BCD" w:rsidP="00B2214E">
            <w:pPr>
              <w:pStyle w:val="DHHStabletext"/>
              <w:rPr>
                <w:color w:val="000000"/>
              </w:rPr>
            </w:pPr>
            <w:r w:rsidRPr="000C7BCD">
              <w:rPr>
                <w:rStyle w:val="normaltextrun"/>
                <w:rFonts w:cs="Arial"/>
                <w:color w:val="000000"/>
                <w:sz w:val="21"/>
                <w:szCs w:val="21"/>
              </w:rPr>
              <w:t>Medium to high resident turnover</w:t>
            </w:r>
          </w:p>
        </w:tc>
        <w:tc>
          <w:tcPr>
            <w:tcW w:w="7760" w:type="dxa"/>
            <w:shd w:val="clear" w:color="auto" w:fill="auto"/>
          </w:tcPr>
          <w:p w14:paraId="054DB396" w14:textId="77777777" w:rsidR="000C7BCD" w:rsidRPr="000C7BCD" w:rsidRDefault="000C7BCD" w:rsidP="00B2214E">
            <w:pPr>
              <w:pStyle w:val="DHHStabletext"/>
            </w:pPr>
            <w:r w:rsidRPr="000C7BCD">
              <w:t>These are accommodation only settings and do not have support staff (although individual residents may receive support services) to leverage quick engagement with residents.</w:t>
            </w:r>
          </w:p>
          <w:p w14:paraId="10EF2636" w14:textId="77777777" w:rsidR="000C7BCD" w:rsidRPr="000C7BCD" w:rsidRDefault="000C7BCD" w:rsidP="00B2214E">
            <w:pPr>
              <w:pStyle w:val="DHHStabletext"/>
            </w:pPr>
            <w:r w:rsidRPr="000C7BCD">
              <w:t xml:space="preserve">Resident names and contact details may not be quickly available in these settings and there is a possibility the names on the lists and tenancy agreements may not be the people living at the premises, or there may be additional people living onsite. </w:t>
            </w:r>
          </w:p>
          <w:p w14:paraId="4199993E" w14:textId="77777777" w:rsidR="000C7BCD" w:rsidRPr="000C7BCD" w:rsidRDefault="000C7BCD" w:rsidP="00B2214E">
            <w:pPr>
              <w:pStyle w:val="DHHStabletext"/>
            </w:pPr>
            <w:r w:rsidRPr="000C7BCD">
              <w:t>Community service providers may need to door knock to establish contact with residents which may delay the critical early stages of outbreak management.</w:t>
            </w:r>
          </w:p>
        </w:tc>
      </w:tr>
      <w:tr w:rsidR="000C7BCD" w:rsidRPr="000C7BCD" w14:paraId="78B115EA" w14:textId="77777777" w:rsidTr="00717ED8">
        <w:tc>
          <w:tcPr>
            <w:tcW w:w="1806" w:type="dxa"/>
            <w:shd w:val="clear" w:color="auto" w:fill="auto"/>
          </w:tcPr>
          <w:p w14:paraId="4AE94C80" w14:textId="77777777" w:rsidR="000C7BCD" w:rsidRPr="00B2214E" w:rsidRDefault="000C7BCD" w:rsidP="00B2214E">
            <w:pPr>
              <w:pStyle w:val="DHHStabletext"/>
              <w:rPr>
                <w:rStyle w:val="Strong"/>
              </w:rPr>
            </w:pPr>
            <w:r w:rsidRPr="00B2214E">
              <w:rPr>
                <w:rStyle w:val="Strong"/>
              </w:rPr>
              <w:t>Backpacker accommodation, Private Hostels, Disability Community Settings, Other</w:t>
            </w:r>
          </w:p>
        </w:tc>
        <w:tc>
          <w:tcPr>
            <w:tcW w:w="4573" w:type="dxa"/>
            <w:shd w:val="clear" w:color="auto" w:fill="auto"/>
          </w:tcPr>
          <w:p w14:paraId="73289979" w14:textId="77777777" w:rsidR="000C7BCD" w:rsidRPr="000C7BCD" w:rsidRDefault="000C7BCD" w:rsidP="00B2214E">
            <w:pPr>
              <w:pStyle w:val="DHHStabletext"/>
            </w:pPr>
            <w:r w:rsidRPr="000C7BCD">
              <w:t>Inclusion of these facilities is on a risk basis and must be approved by HRAR Division Director.</w:t>
            </w:r>
          </w:p>
          <w:p w14:paraId="1C18D61D" w14:textId="39DC9C34" w:rsidR="000C7BCD" w:rsidRPr="000C7BCD" w:rsidRDefault="000C7BCD" w:rsidP="00B2214E">
            <w:pPr>
              <w:pStyle w:val="DHHStabletext"/>
            </w:pPr>
            <w:r w:rsidRPr="000C7BCD">
              <w:t>Key risks that will support inclusion will be consideration of the ability of the residents to safely apply infection control principles, resident turnover (short turnover may require ongoing evaluation of the risk) and the ability of the cohort to safely quarantine or isolate if required to do so (ie physical environment).</w:t>
            </w:r>
          </w:p>
        </w:tc>
        <w:tc>
          <w:tcPr>
            <w:tcW w:w="7760" w:type="dxa"/>
            <w:shd w:val="clear" w:color="auto" w:fill="auto"/>
          </w:tcPr>
          <w:p w14:paraId="7FDADBD7" w14:textId="77777777" w:rsidR="000C7BCD" w:rsidRPr="000C7BCD" w:rsidRDefault="000C7BCD" w:rsidP="00B2214E">
            <w:pPr>
              <w:pStyle w:val="DHHStabletext"/>
            </w:pPr>
            <w:r w:rsidRPr="000C7BCD">
              <w:t xml:space="preserve">Other Accommodation settings - Includes backpacker accommodation and private hostels. </w:t>
            </w:r>
          </w:p>
          <w:p w14:paraId="0A30C7FC" w14:textId="77777777" w:rsidR="000C7BCD" w:rsidRPr="000C7BCD" w:rsidRDefault="000C7BCD" w:rsidP="00B2214E">
            <w:pPr>
              <w:pStyle w:val="DHHStabletext"/>
            </w:pPr>
            <w:r w:rsidRPr="000C7BCD">
              <w:t xml:space="preserve">Settings do not have support staff who might be able to assist in communicating with residents. </w:t>
            </w:r>
          </w:p>
          <w:p w14:paraId="0C74D236" w14:textId="77777777" w:rsidR="000C7BCD" w:rsidRPr="000C7BCD" w:rsidRDefault="000C7BCD" w:rsidP="00B2214E">
            <w:pPr>
              <w:pStyle w:val="DHHStabletext"/>
            </w:pPr>
            <w:r w:rsidRPr="000C7BCD">
              <w:t>Information about residents’ needs are unknown. Residents may be short term and move between a range of accommodation facilities.</w:t>
            </w:r>
          </w:p>
        </w:tc>
      </w:tr>
      <w:bookmarkEnd w:id="6"/>
    </w:tbl>
    <w:p w14:paraId="424B9EFE" w14:textId="4F8035DB" w:rsidR="00EB4BC7" w:rsidRDefault="00EB4BC7" w:rsidP="00ED2953">
      <w:pPr>
        <w:pStyle w:val="DHHSbody"/>
      </w:pPr>
    </w:p>
    <w:p w14:paraId="0A20EAF0" w14:textId="77777777" w:rsidR="00F125A7" w:rsidRDefault="00F125A7" w:rsidP="00ED2953">
      <w:pPr>
        <w:pStyle w:val="DHHSbody"/>
        <w:sectPr w:rsidR="00F125A7" w:rsidSect="008061FD">
          <w:pgSz w:w="11906" w:h="16838" w:code="9"/>
          <w:pgMar w:top="567" w:right="720" w:bottom="720" w:left="720" w:header="408" w:footer="851" w:gutter="0"/>
          <w:cols w:space="340"/>
          <w:docGrid w:linePitch="360"/>
        </w:sectPr>
      </w:pPr>
    </w:p>
    <w:p w14:paraId="618A00E7" w14:textId="2D516C0F" w:rsidR="00F125A7" w:rsidRPr="00427407" w:rsidRDefault="00F125A7" w:rsidP="00427407">
      <w:pPr>
        <w:pStyle w:val="DHHStablecaption"/>
      </w:pPr>
      <w:bookmarkStart w:id="88" w:name="_Hlk93417039"/>
      <w:r w:rsidRPr="00427407">
        <w:lastRenderedPageBreak/>
        <w:t>Table 2: Risk Tiers and setting type(s) - Service Expectations and interventions</w:t>
      </w:r>
    </w:p>
    <w:p w14:paraId="7FDEEE76" w14:textId="32419877" w:rsidR="00F125A7" w:rsidRDefault="00F125A7" w:rsidP="00427407">
      <w:pPr>
        <w:pStyle w:val="DHHStablefigurenote"/>
        <w:rPr>
          <w:lang w:eastAsia="en-AU"/>
        </w:rPr>
      </w:pPr>
      <w:r w:rsidRPr="003E5079">
        <w:rPr>
          <w:lang w:eastAsia="en-AU"/>
        </w:rPr>
        <w:t>* Tiers do not necessarily reflect ascending or descending risk, but rather reflect variations in risk profile due to differences in setting characteristics</w:t>
      </w:r>
    </w:p>
    <w:p w14:paraId="1982DA42" w14:textId="4DD7C614" w:rsidR="008E1F9A" w:rsidRPr="00384990" w:rsidRDefault="008E1F9A" w:rsidP="00993CE3">
      <w:pPr>
        <w:pStyle w:val="Heading3"/>
      </w:pPr>
      <w:r w:rsidRPr="00384990">
        <w:t xml:space="preserve">2.1 </w:t>
      </w:r>
      <w:r w:rsidR="00384990">
        <w:t>C</w:t>
      </w:r>
      <w:r w:rsidR="00384990" w:rsidRPr="00384990">
        <w:t>atchment partnerships</w:t>
      </w:r>
    </w:p>
    <w:p w14:paraId="32D7DE98" w14:textId="1E832E09" w:rsidR="008E1F9A" w:rsidRPr="00EB78F0" w:rsidRDefault="008E1F9A" w:rsidP="009376ED">
      <w:pPr>
        <w:pStyle w:val="DHHSbody"/>
        <w:rPr>
          <w:rStyle w:val="Strong"/>
        </w:rPr>
      </w:pPr>
      <w:r w:rsidRPr="00EB78F0">
        <w:rPr>
          <w:rStyle w:val="Strong"/>
        </w:rPr>
        <w:t>Tier and setting type(s)* service expectations and intervention</w:t>
      </w:r>
    </w:p>
    <w:tbl>
      <w:tblPr>
        <w:tblStyle w:val="TableGrid"/>
        <w:tblW w:w="15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Caption w:val="Table 2.1 Catchment partnerships"/>
        <w:tblDescription w:val="Tier and setting type(s) service expectaions and interventions"/>
      </w:tblPr>
      <w:tblGrid>
        <w:gridCol w:w="2836"/>
        <w:gridCol w:w="2267"/>
        <w:gridCol w:w="2268"/>
        <w:gridCol w:w="2835"/>
        <w:gridCol w:w="2268"/>
        <w:gridCol w:w="2591"/>
      </w:tblGrid>
      <w:tr w:rsidR="00F125A7" w14:paraId="75563788" w14:textId="77777777" w:rsidTr="00717ED8">
        <w:tc>
          <w:tcPr>
            <w:tcW w:w="2836" w:type="dxa"/>
            <w:shd w:val="clear" w:color="auto" w:fill="auto"/>
          </w:tcPr>
          <w:p w14:paraId="56ECCE98" w14:textId="77777777" w:rsidR="00F125A7" w:rsidRPr="0061564F" w:rsidRDefault="00F125A7" w:rsidP="0061564F">
            <w:pPr>
              <w:pStyle w:val="DHHStabletext"/>
              <w:rPr>
                <w:rStyle w:val="Strong"/>
                <w:sz w:val="18"/>
                <w:szCs w:val="18"/>
              </w:rPr>
            </w:pPr>
            <w:r w:rsidRPr="0061564F">
              <w:rPr>
                <w:rStyle w:val="Strong"/>
                <w:sz w:val="18"/>
                <w:szCs w:val="18"/>
              </w:rPr>
              <w:t>All Tiers – Catchment Wide</w:t>
            </w:r>
          </w:p>
        </w:tc>
        <w:tc>
          <w:tcPr>
            <w:tcW w:w="2267" w:type="dxa"/>
            <w:shd w:val="clear" w:color="auto" w:fill="auto"/>
          </w:tcPr>
          <w:p w14:paraId="23662F54" w14:textId="77777777" w:rsidR="0061564F" w:rsidRPr="0061564F" w:rsidRDefault="00F125A7" w:rsidP="0061564F">
            <w:pPr>
              <w:pStyle w:val="DHHStabletext"/>
              <w:rPr>
                <w:sz w:val="18"/>
                <w:szCs w:val="18"/>
                <w:lang w:eastAsia="en-AU"/>
              </w:rPr>
            </w:pPr>
            <w:r w:rsidRPr="0061564F">
              <w:rPr>
                <w:rStyle w:val="Strong"/>
                <w:sz w:val="18"/>
                <w:szCs w:val="18"/>
              </w:rPr>
              <w:t>Tier 1a: Public Housing – High- Risk settings</w:t>
            </w:r>
          </w:p>
          <w:p w14:paraId="55BE9002" w14:textId="58828CF3" w:rsidR="00F125A7" w:rsidRPr="0061564F" w:rsidRDefault="00F125A7" w:rsidP="0061564F">
            <w:pPr>
              <w:pStyle w:val="DHHStabletext"/>
              <w:rPr>
                <w:rStyle w:val="Emphasis"/>
                <w:sz w:val="18"/>
                <w:szCs w:val="18"/>
              </w:rPr>
            </w:pPr>
            <w:r w:rsidRPr="0061564F">
              <w:rPr>
                <w:rStyle w:val="Emphasis"/>
                <w:sz w:val="18"/>
                <w:szCs w:val="18"/>
              </w:rPr>
              <w:t>All high-rise public housing and high-risk medium-rise public housing</w:t>
            </w:r>
          </w:p>
        </w:tc>
        <w:tc>
          <w:tcPr>
            <w:tcW w:w="2268" w:type="dxa"/>
            <w:shd w:val="clear" w:color="auto" w:fill="auto"/>
          </w:tcPr>
          <w:p w14:paraId="0AA7810F" w14:textId="77777777" w:rsidR="00F125A7" w:rsidRPr="0061564F" w:rsidRDefault="00F125A7" w:rsidP="0061564F">
            <w:pPr>
              <w:pStyle w:val="DHHStabletext"/>
              <w:rPr>
                <w:rStyle w:val="Strong"/>
                <w:sz w:val="18"/>
                <w:szCs w:val="18"/>
              </w:rPr>
            </w:pPr>
            <w:r w:rsidRPr="0061564F">
              <w:rPr>
                <w:rStyle w:val="Strong"/>
                <w:sz w:val="18"/>
                <w:szCs w:val="18"/>
              </w:rPr>
              <w:t xml:space="preserve">Tier 1b – Public Housing low-risk settings </w:t>
            </w:r>
          </w:p>
          <w:p w14:paraId="570ED83E" w14:textId="1F1F4F84" w:rsidR="00F125A7" w:rsidRPr="0061564F" w:rsidRDefault="00F125A7" w:rsidP="0061564F">
            <w:pPr>
              <w:pStyle w:val="DHHStabletext"/>
              <w:rPr>
                <w:rStyle w:val="Emphasis"/>
                <w:sz w:val="18"/>
                <w:szCs w:val="18"/>
              </w:rPr>
            </w:pPr>
            <w:r w:rsidRPr="0061564F">
              <w:rPr>
                <w:rStyle w:val="Emphasis"/>
                <w:sz w:val="18"/>
                <w:szCs w:val="18"/>
              </w:rPr>
              <w:t>Low-risk medium-rise and low-rise public housing</w:t>
            </w:r>
          </w:p>
        </w:tc>
        <w:tc>
          <w:tcPr>
            <w:tcW w:w="2835" w:type="dxa"/>
            <w:shd w:val="clear" w:color="auto" w:fill="auto"/>
          </w:tcPr>
          <w:p w14:paraId="6B4B6F64" w14:textId="77777777" w:rsidR="0061564F" w:rsidRPr="0061564F" w:rsidRDefault="00F125A7" w:rsidP="0061564F">
            <w:pPr>
              <w:pStyle w:val="DHHStabletext"/>
              <w:rPr>
                <w:sz w:val="18"/>
                <w:szCs w:val="18"/>
                <w:lang w:eastAsia="en-AU"/>
              </w:rPr>
            </w:pPr>
            <w:r w:rsidRPr="0061564F">
              <w:rPr>
                <w:rStyle w:val="Strong"/>
                <w:sz w:val="18"/>
                <w:szCs w:val="18"/>
              </w:rPr>
              <w:t>Tier 2: Staffed Accommodation facilities</w:t>
            </w:r>
          </w:p>
          <w:p w14:paraId="6F8A9A69" w14:textId="1283F49A" w:rsidR="00F125A7" w:rsidRPr="0061564F" w:rsidRDefault="00F125A7" w:rsidP="0061564F">
            <w:pPr>
              <w:pStyle w:val="DHHStabletext"/>
              <w:rPr>
                <w:rStyle w:val="Emphasis"/>
                <w:sz w:val="18"/>
                <w:szCs w:val="18"/>
              </w:rPr>
            </w:pPr>
            <w:r w:rsidRPr="0061564F">
              <w:rPr>
                <w:rStyle w:val="Emphasis"/>
                <w:sz w:val="18"/>
                <w:szCs w:val="18"/>
              </w:rPr>
              <w:t>Residential disability and Supported Residential Services (SRS)</w:t>
            </w:r>
          </w:p>
        </w:tc>
        <w:tc>
          <w:tcPr>
            <w:tcW w:w="2268" w:type="dxa"/>
            <w:shd w:val="clear" w:color="auto" w:fill="auto"/>
          </w:tcPr>
          <w:p w14:paraId="3352B0D2" w14:textId="4AC64A94" w:rsidR="00F125A7" w:rsidRPr="0061564F" w:rsidRDefault="00F125A7" w:rsidP="0061564F">
            <w:pPr>
              <w:pStyle w:val="DHHStabletext"/>
              <w:rPr>
                <w:rStyle w:val="Strong"/>
                <w:sz w:val="18"/>
                <w:szCs w:val="18"/>
              </w:rPr>
            </w:pPr>
            <w:r w:rsidRPr="0061564F">
              <w:rPr>
                <w:rStyle w:val="Strong"/>
                <w:sz w:val="18"/>
                <w:szCs w:val="18"/>
              </w:rPr>
              <w:t>Tier 3: Unstaffed Accommodation facilities</w:t>
            </w:r>
          </w:p>
          <w:p w14:paraId="065639BD" w14:textId="77777777" w:rsidR="00F125A7" w:rsidRPr="0061564F" w:rsidRDefault="00F125A7" w:rsidP="0061564F">
            <w:pPr>
              <w:pStyle w:val="DHHStabletext"/>
              <w:rPr>
                <w:rStyle w:val="Emphasis"/>
                <w:sz w:val="18"/>
                <w:szCs w:val="18"/>
              </w:rPr>
            </w:pPr>
            <w:r w:rsidRPr="0061564F">
              <w:rPr>
                <w:rStyle w:val="Emphasis"/>
                <w:sz w:val="18"/>
                <w:szCs w:val="18"/>
              </w:rPr>
              <w:t>Rooming houses, community housing and caravan parks</w:t>
            </w:r>
          </w:p>
        </w:tc>
        <w:tc>
          <w:tcPr>
            <w:tcW w:w="2591" w:type="dxa"/>
            <w:shd w:val="clear" w:color="auto" w:fill="auto"/>
          </w:tcPr>
          <w:p w14:paraId="34F1CC25" w14:textId="3427DBBE" w:rsidR="00F125A7" w:rsidRPr="0061564F" w:rsidRDefault="00F125A7" w:rsidP="0061564F">
            <w:pPr>
              <w:pStyle w:val="DHHStabletext"/>
              <w:rPr>
                <w:rStyle w:val="Strong"/>
                <w:sz w:val="18"/>
                <w:szCs w:val="18"/>
              </w:rPr>
            </w:pPr>
            <w:r w:rsidRPr="0061564F">
              <w:rPr>
                <w:rStyle w:val="Strong"/>
                <w:sz w:val="18"/>
                <w:szCs w:val="18"/>
              </w:rPr>
              <w:t>Tier 4: Other Settings</w:t>
            </w:r>
          </w:p>
          <w:p w14:paraId="3B318208" w14:textId="77777777" w:rsidR="00F125A7" w:rsidRPr="0061564F" w:rsidRDefault="00F125A7" w:rsidP="0061564F">
            <w:pPr>
              <w:pStyle w:val="DHHStabletext"/>
              <w:rPr>
                <w:sz w:val="18"/>
                <w:szCs w:val="18"/>
                <w:lang w:eastAsia="en-AU"/>
              </w:rPr>
            </w:pPr>
            <w:r w:rsidRPr="0061564F">
              <w:rPr>
                <w:rStyle w:val="Emphasis"/>
                <w:sz w:val="18"/>
                <w:szCs w:val="18"/>
              </w:rPr>
              <w:t>Disability community-based</w:t>
            </w:r>
            <w:r w:rsidRPr="0061564F">
              <w:rPr>
                <w:sz w:val="18"/>
                <w:szCs w:val="18"/>
                <w:lang w:eastAsia="en-AU"/>
              </w:rPr>
              <w:t xml:space="preserve"> </w:t>
            </w:r>
            <w:r w:rsidRPr="0061564F">
              <w:rPr>
                <w:rStyle w:val="Emphasis"/>
                <w:sz w:val="18"/>
                <w:szCs w:val="18"/>
              </w:rPr>
              <w:t>settings, and other accommodation settings (including private hostels and backpacker accommodation)</w:t>
            </w:r>
          </w:p>
        </w:tc>
      </w:tr>
      <w:tr w:rsidR="00F125A7" w14:paraId="053CCB21" w14:textId="77777777" w:rsidTr="00717ED8">
        <w:tc>
          <w:tcPr>
            <w:tcW w:w="2836" w:type="dxa"/>
            <w:shd w:val="clear" w:color="auto" w:fill="auto"/>
          </w:tcPr>
          <w:p w14:paraId="079D5951" w14:textId="77777777" w:rsidR="00F125A7" w:rsidRPr="0061564F" w:rsidRDefault="00F125A7" w:rsidP="0061564F">
            <w:pPr>
              <w:pStyle w:val="Bullet1"/>
              <w:rPr>
                <w:b/>
                <w:bCs/>
                <w:i/>
                <w:iCs/>
                <w:sz w:val="18"/>
                <w:szCs w:val="18"/>
              </w:rPr>
            </w:pPr>
            <w:r w:rsidRPr="0061564F">
              <w:rPr>
                <w:sz w:val="18"/>
                <w:szCs w:val="18"/>
              </w:rPr>
              <w:t>Establish governance and catchment leadership group – led by Lead Provider</w:t>
            </w:r>
          </w:p>
          <w:p w14:paraId="3A78241C" w14:textId="77777777" w:rsidR="00F125A7" w:rsidRPr="0061564F" w:rsidRDefault="00F125A7" w:rsidP="0061564F">
            <w:pPr>
              <w:pStyle w:val="Bullet1"/>
              <w:rPr>
                <w:b/>
                <w:bCs/>
                <w:i/>
                <w:iCs/>
                <w:sz w:val="18"/>
                <w:szCs w:val="18"/>
              </w:rPr>
            </w:pPr>
            <w:r w:rsidRPr="0061564F">
              <w:rPr>
                <w:sz w:val="18"/>
                <w:szCs w:val="18"/>
              </w:rPr>
              <w:t>Perform risk-assessment of in-scope settings to develop targeted plans</w:t>
            </w:r>
          </w:p>
          <w:p w14:paraId="2E0E1C0B" w14:textId="77777777" w:rsidR="00F125A7" w:rsidRPr="0061564F" w:rsidRDefault="00F125A7" w:rsidP="0061564F">
            <w:pPr>
              <w:pStyle w:val="Bullet1"/>
              <w:rPr>
                <w:b/>
                <w:bCs/>
                <w:i/>
                <w:iCs/>
                <w:sz w:val="18"/>
                <w:szCs w:val="18"/>
              </w:rPr>
            </w:pPr>
            <w:r w:rsidRPr="0061564F">
              <w:rPr>
                <w:sz w:val="18"/>
                <w:szCs w:val="18"/>
              </w:rPr>
              <w:t>Catchment partnerships consider:</w:t>
            </w:r>
          </w:p>
          <w:p w14:paraId="6E568B9D" w14:textId="77777777" w:rsidR="00F125A7" w:rsidRPr="0061564F" w:rsidRDefault="00F125A7" w:rsidP="0061564F">
            <w:pPr>
              <w:pStyle w:val="Bullet1"/>
              <w:rPr>
                <w:sz w:val="18"/>
                <w:szCs w:val="18"/>
              </w:rPr>
            </w:pPr>
            <w:r w:rsidRPr="0061564F">
              <w:rPr>
                <w:sz w:val="18"/>
                <w:szCs w:val="18"/>
              </w:rPr>
              <w:t>outbreak responses,</w:t>
            </w:r>
          </w:p>
          <w:p w14:paraId="0936FA07" w14:textId="77777777" w:rsidR="00F125A7" w:rsidRPr="0061564F" w:rsidRDefault="00F125A7" w:rsidP="0061564F">
            <w:pPr>
              <w:pStyle w:val="Bullet1"/>
              <w:rPr>
                <w:sz w:val="18"/>
                <w:szCs w:val="18"/>
              </w:rPr>
            </w:pPr>
            <w:r w:rsidRPr="0061564F">
              <w:rPr>
                <w:sz w:val="18"/>
                <w:szCs w:val="18"/>
              </w:rPr>
              <w:t>prevention and preparedness activities,</w:t>
            </w:r>
          </w:p>
          <w:p w14:paraId="1D2298EA" w14:textId="77777777" w:rsidR="00F125A7" w:rsidRPr="0061564F" w:rsidRDefault="00F125A7" w:rsidP="0061564F">
            <w:pPr>
              <w:pStyle w:val="Bullet1"/>
              <w:rPr>
                <w:sz w:val="18"/>
                <w:szCs w:val="18"/>
              </w:rPr>
            </w:pPr>
            <w:r w:rsidRPr="0061564F">
              <w:rPr>
                <w:sz w:val="18"/>
                <w:szCs w:val="18"/>
              </w:rPr>
              <w:t>vaccination preparation / support,</w:t>
            </w:r>
          </w:p>
          <w:p w14:paraId="53510F97" w14:textId="77777777" w:rsidR="00F125A7" w:rsidRPr="0061564F" w:rsidRDefault="00F125A7" w:rsidP="0061564F">
            <w:pPr>
              <w:pStyle w:val="Bullet1"/>
              <w:rPr>
                <w:sz w:val="18"/>
                <w:szCs w:val="18"/>
              </w:rPr>
            </w:pPr>
            <w:r w:rsidRPr="0061564F">
              <w:rPr>
                <w:sz w:val="18"/>
                <w:szCs w:val="18"/>
              </w:rPr>
              <w:t xml:space="preserve">ongoing communication mechanisms, </w:t>
            </w:r>
          </w:p>
          <w:p w14:paraId="67CFF1BD" w14:textId="77777777" w:rsidR="00F125A7" w:rsidRPr="0061564F" w:rsidRDefault="00F125A7" w:rsidP="0061564F">
            <w:pPr>
              <w:pStyle w:val="Bullet1"/>
              <w:rPr>
                <w:sz w:val="18"/>
                <w:szCs w:val="18"/>
              </w:rPr>
            </w:pPr>
            <w:r w:rsidRPr="0061564F">
              <w:rPr>
                <w:sz w:val="18"/>
                <w:szCs w:val="18"/>
              </w:rPr>
              <w:t xml:space="preserve">local community engagement strategies, and </w:t>
            </w:r>
          </w:p>
          <w:p w14:paraId="6F3AEDBA" w14:textId="4BEEEA88" w:rsidR="00F125A7" w:rsidRPr="0061564F" w:rsidRDefault="00F125A7" w:rsidP="0061564F">
            <w:pPr>
              <w:pStyle w:val="Bullet1"/>
              <w:rPr>
                <w:b/>
                <w:bCs/>
                <w:i/>
                <w:iCs/>
                <w:sz w:val="18"/>
                <w:szCs w:val="18"/>
              </w:rPr>
            </w:pPr>
            <w:r w:rsidRPr="0061564F">
              <w:rPr>
                <w:sz w:val="18"/>
                <w:szCs w:val="18"/>
              </w:rPr>
              <w:t>social recovery activities at local level during periods of low/no cases of infection in broader community.</w:t>
            </w:r>
          </w:p>
        </w:tc>
        <w:tc>
          <w:tcPr>
            <w:tcW w:w="2267" w:type="dxa"/>
            <w:shd w:val="clear" w:color="auto" w:fill="auto"/>
          </w:tcPr>
          <w:p w14:paraId="42BEDB07" w14:textId="77777777" w:rsidR="00F125A7" w:rsidRPr="0061564F" w:rsidRDefault="00F125A7" w:rsidP="0061564F">
            <w:pPr>
              <w:pStyle w:val="Bullet1"/>
              <w:rPr>
                <w:rFonts w:cs="Arial"/>
                <w:sz w:val="18"/>
                <w:szCs w:val="18"/>
              </w:rPr>
            </w:pPr>
            <w:r w:rsidRPr="0061564F">
              <w:rPr>
                <w:rFonts w:cs="Arial"/>
                <w:sz w:val="18"/>
                <w:szCs w:val="18"/>
              </w:rPr>
              <w:t xml:space="preserve">Assess facilities with no active cases and develop plan for outreach support and assessment </w:t>
            </w:r>
          </w:p>
          <w:p w14:paraId="2EE56918" w14:textId="77777777" w:rsidR="00F125A7" w:rsidRPr="0061564F" w:rsidRDefault="00F125A7" w:rsidP="0061564F">
            <w:pPr>
              <w:pStyle w:val="Bullet1"/>
              <w:rPr>
                <w:rFonts w:cs="Arial"/>
                <w:sz w:val="18"/>
                <w:szCs w:val="18"/>
              </w:rPr>
            </w:pPr>
            <w:r w:rsidRPr="0061564F">
              <w:rPr>
                <w:rFonts w:cs="Arial"/>
                <w:sz w:val="18"/>
                <w:szCs w:val="18"/>
              </w:rPr>
              <w:t>Risk Assessment required for all facilities in this tier</w:t>
            </w:r>
          </w:p>
          <w:p w14:paraId="31FD977C" w14:textId="77777777" w:rsidR="00F125A7" w:rsidRPr="0061564F" w:rsidRDefault="00F125A7" w:rsidP="0061564F">
            <w:pPr>
              <w:pStyle w:val="Bullet1"/>
              <w:rPr>
                <w:rFonts w:cs="Arial"/>
                <w:sz w:val="18"/>
                <w:szCs w:val="18"/>
              </w:rPr>
            </w:pPr>
            <w:r w:rsidRPr="0061564F">
              <w:rPr>
                <w:rFonts w:cs="Arial"/>
                <w:sz w:val="18"/>
                <w:szCs w:val="18"/>
              </w:rPr>
              <w:t>Onsite Health Concierge model – supports communications and community engagement</w:t>
            </w:r>
          </w:p>
          <w:p w14:paraId="68A93AC0" w14:textId="77777777" w:rsidR="00F125A7" w:rsidRPr="0061564F" w:rsidRDefault="00F125A7" w:rsidP="0061564F">
            <w:pPr>
              <w:pStyle w:val="Bullet1"/>
              <w:rPr>
                <w:rFonts w:cs="Arial"/>
                <w:sz w:val="18"/>
                <w:szCs w:val="18"/>
              </w:rPr>
            </w:pPr>
          </w:p>
        </w:tc>
        <w:tc>
          <w:tcPr>
            <w:tcW w:w="2268" w:type="dxa"/>
            <w:shd w:val="clear" w:color="auto" w:fill="auto"/>
          </w:tcPr>
          <w:p w14:paraId="3F3FB543" w14:textId="77777777" w:rsidR="00F125A7" w:rsidRPr="0061564F" w:rsidRDefault="00F125A7" w:rsidP="0061564F">
            <w:pPr>
              <w:pStyle w:val="Bullet1"/>
              <w:rPr>
                <w:rFonts w:cs="Arial"/>
                <w:bCs/>
                <w:sz w:val="18"/>
                <w:szCs w:val="18"/>
              </w:rPr>
            </w:pPr>
            <w:r w:rsidRPr="0061564F">
              <w:rPr>
                <w:rFonts w:cs="Arial"/>
                <w:bCs/>
                <w:sz w:val="18"/>
                <w:szCs w:val="18"/>
              </w:rPr>
              <w:t>Catchment partnership activities will be conducted at these settings on an as needs basis, encompassing approaches as detailed in all catchment approach.</w:t>
            </w:r>
          </w:p>
          <w:p w14:paraId="0A199932" w14:textId="77777777" w:rsidR="00F125A7" w:rsidRPr="0061564F" w:rsidRDefault="00F125A7" w:rsidP="0061564F">
            <w:pPr>
              <w:pStyle w:val="Bullet1"/>
              <w:rPr>
                <w:rFonts w:cs="Arial"/>
                <w:bCs/>
                <w:sz w:val="18"/>
                <w:szCs w:val="18"/>
              </w:rPr>
            </w:pPr>
            <w:r w:rsidRPr="0061564F">
              <w:rPr>
                <w:rFonts w:cs="Arial"/>
                <w:sz w:val="18"/>
                <w:szCs w:val="18"/>
              </w:rPr>
              <w:t>Not every facility or setting will require a full risk assessment and development of COVID safe plan (given many are individual dwellings), focus will be on settings accommodating multiple people on site with shared amenities, rather than single dwellings.</w:t>
            </w:r>
          </w:p>
        </w:tc>
        <w:tc>
          <w:tcPr>
            <w:tcW w:w="2835" w:type="dxa"/>
            <w:shd w:val="clear" w:color="auto" w:fill="auto"/>
          </w:tcPr>
          <w:p w14:paraId="1316BC14" w14:textId="77777777" w:rsidR="00F125A7" w:rsidRPr="0061564F" w:rsidRDefault="00F125A7" w:rsidP="0061564F">
            <w:pPr>
              <w:pStyle w:val="Bullet1"/>
              <w:rPr>
                <w:rFonts w:cs="Arial"/>
                <w:sz w:val="18"/>
                <w:szCs w:val="18"/>
              </w:rPr>
            </w:pPr>
            <w:r w:rsidRPr="0061564F">
              <w:rPr>
                <w:rFonts w:cs="Arial"/>
                <w:sz w:val="18"/>
                <w:szCs w:val="18"/>
              </w:rPr>
              <w:t>Risk Assessment required for all facilities in this tier</w:t>
            </w:r>
          </w:p>
          <w:p w14:paraId="6A3A057C" w14:textId="77777777" w:rsidR="00F125A7" w:rsidRPr="0061564F" w:rsidRDefault="00F125A7" w:rsidP="0061564F">
            <w:pPr>
              <w:pStyle w:val="Bullet1"/>
              <w:rPr>
                <w:rFonts w:cs="Arial"/>
                <w:sz w:val="18"/>
                <w:szCs w:val="18"/>
              </w:rPr>
            </w:pPr>
            <w:r w:rsidRPr="0061564F">
              <w:rPr>
                <w:rFonts w:cs="Arial"/>
                <w:sz w:val="18"/>
                <w:szCs w:val="18"/>
              </w:rPr>
              <w:t>Develop approach that includes specific detail to support people with disability (for outbreak and preparedness and social recovery initiatives)</w:t>
            </w:r>
          </w:p>
          <w:p w14:paraId="4EF1450E" w14:textId="77777777" w:rsidR="00F125A7" w:rsidRPr="0061564F" w:rsidRDefault="00F125A7" w:rsidP="0061564F">
            <w:pPr>
              <w:pStyle w:val="Bullet1"/>
              <w:rPr>
                <w:rFonts w:cs="Arial"/>
                <w:sz w:val="18"/>
                <w:szCs w:val="18"/>
              </w:rPr>
            </w:pPr>
            <w:r w:rsidRPr="0061564F">
              <w:rPr>
                <w:rFonts w:cs="Arial"/>
                <w:sz w:val="18"/>
                <w:szCs w:val="18"/>
              </w:rPr>
              <w:t>Note any sub-contractual arrangements with providers to enable tailored responses/activities</w:t>
            </w:r>
          </w:p>
          <w:p w14:paraId="18F31037" w14:textId="77777777" w:rsidR="00F125A7" w:rsidRPr="0061564F" w:rsidRDefault="00F125A7" w:rsidP="0061564F">
            <w:pPr>
              <w:pStyle w:val="Bullet1"/>
              <w:rPr>
                <w:rFonts w:cs="Arial"/>
                <w:sz w:val="18"/>
                <w:szCs w:val="18"/>
              </w:rPr>
            </w:pPr>
            <w:r w:rsidRPr="0061564F">
              <w:rPr>
                <w:rFonts w:cs="Arial"/>
                <w:sz w:val="18"/>
                <w:szCs w:val="18"/>
              </w:rPr>
              <w:t>Consider mobility and isolation challenges for people with high support needs and complex needs</w:t>
            </w:r>
          </w:p>
          <w:p w14:paraId="3FC1D78F" w14:textId="77777777" w:rsidR="00F125A7" w:rsidRPr="0061564F" w:rsidRDefault="00F125A7" w:rsidP="0061564F">
            <w:pPr>
              <w:pStyle w:val="Bullet1"/>
              <w:rPr>
                <w:rFonts w:cs="Arial"/>
                <w:sz w:val="18"/>
                <w:szCs w:val="18"/>
              </w:rPr>
            </w:pPr>
            <w:r w:rsidRPr="0061564F">
              <w:rPr>
                <w:rFonts w:cs="Arial"/>
                <w:sz w:val="18"/>
                <w:szCs w:val="18"/>
              </w:rPr>
              <w:t>Consider role of staff in supporting people in residential disability and SRS settings</w:t>
            </w:r>
          </w:p>
          <w:p w14:paraId="0A777107" w14:textId="77777777" w:rsidR="00F125A7" w:rsidRPr="0061564F" w:rsidRDefault="00F125A7" w:rsidP="0061564F">
            <w:pPr>
              <w:pStyle w:val="Bullet1"/>
              <w:rPr>
                <w:rFonts w:cs="Arial"/>
                <w:sz w:val="18"/>
                <w:szCs w:val="18"/>
              </w:rPr>
            </w:pPr>
            <w:r w:rsidRPr="0061564F">
              <w:rPr>
                <w:rFonts w:cs="Arial"/>
                <w:sz w:val="18"/>
                <w:szCs w:val="18"/>
              </w:rPr>
              <w:t>Consider linkages / interface with NDIA, NDS, mental health services and disability service providers</w:t>
            </w:r>
          </w:p>
        </w:tc>
        <w:tc>
          <w:tcPr>
            <w:tcW w:w="2268" w:type="dxa"/>
            <w:shd w:val="clear" w:color="auto" w:fill="auto"/>
          </w:tcPr>
          <w:p w14:paraId="2337D87C" w14:textId="77777777" w:rsidR="00F125A7" w:rsidRPr="0061564F" w:rsidRDefault="00F125A7" w:rsidP="0061564F">
            <w:pPr>
              <w:pStyle w:val="Bullet1"/>
              <w:rPr>
                <w:rFonts w:cs="Arial"/>
                <w:sz w:val="18"/>
                <w:szCs w:val="18"/>
              </w:rPr>
            </w:pPr>
            <w:r w:rsidRPr="0061564F">
              <w:rPr>
                <w:rFonts w:cs="Arial"/>
                <w:sz w:val="18"/>
                <w:szCs w:val="18"/>
              </w:rPr>
              <w:t>Develop plan for outreach support and assessment</w:t>
            </w:r>
          </w:p>
          <w:p w14:paraId="3078D6B4" w14:textId="77777777" w:rsidR="00F125A7" w:rsidRPr="0061564F" w:rsidRDefault="00F125A7" w:rsidP="0061564F">
            <w:pPr>
              <w:pStyle w:val="Bullet1"/>
              <w:rPr>
                <w:rFonts w:cs="Arial"/>
                <w:sz w:val="18"/>
                <w:szCs w:val="18"/>
              </w:rPr>
            </w:pPr>
            <w:r w:rsidRPr="0061564F">
              <w:rPr>
                <w:rFonts w:cs="Arial"/>
                <w:sz w:val="18"/>
                <w:szCs w:val="18"/>
              </w:rPr>
              <w:t>Risk Assessment required for facilities in this tier, with varied approaches and levels of intervention</w:t>
            </w:r>
          </w:p>
          <w:p w14:paraId="26D18013" w14:textId="77777777" w:rsidR="00F125A7" w:rsidRPr="0061564F" w:rsidRDefault="00F125A7" w:rsidP="0061564F">
            <w:pPr>
              <w:pStyle w:val="Bullet1"/>
              <w:rPr>
                <w:rFonts w:cs="Arial"/>
                <w:sz w:val="18"/>
                <w:szCs w:val="18"/>
              </w:rPr>
            </w:pPr>
            <w:r w:rsidRPr="0061564F">
              <w:rPr>
                <w:rFonts w:cs="Arial"/>
                <w:sz w:val="18"/>
                <w:szCs w:val="18"/>
              </w:rPr>
              <w:t>There may be difficulty in pre-planning approaches due to type of setting (no staff) and inability to access key information around residents and types of needs at each location/facility/ individual residence</w:t>
            </w:r>
          </w:p>
        </w:tc>
        <w:tc>
          <w:tcPr>
            <w:tcW w:w="2591" w:type="dxa"/>
            <w:shd w:val="clear" w:color="auto" w:fill="auto"/>
          </w:tcPr>
          <w:p w14:paraId="4E2B13B8" w14:textId="77777777" w:rsidR="00F125A7" w:rsidRPr="0061564F" w:rsidRDefault="00F125A7" w:rsidP="0061564F">
            <w:pPr>
              <w:pStyle w:val="Bullet1"/>
              <w:rPr>
                <w:rFonts w:cs="Arial"/>
                <w:sz w:val="18"/>
                <w:szCs w:val="18"/>
              </w:rPr>
            </w:pPr>
            <w:r w:rsidRPr="0061564F">
              <w:rPr>
                <w:rFonts w:cs="Arial"/>
                <w:sz w:val="18"/>
                <w:szCs w:val="18"/>
              </w:rPr>
              <w:t>Develop plan for outreach support and assessment</w:t>
            </w:r>
          </w:p>
          <w:p w14:paraId="65A06A3C" w14:textId="77777777" w:rsidR="00F125A7" w:rsidRPr="0061564F" w:rsidRDefault="00F125A7" w:rsidP="0061564F">
            <w:pPr>
              <w:pStyle w:val="Bullet1"/>
              <w:rPr>
                <w:rFonts w:cs="Arial"/>
                <w:sz w:val="18"/>
                <w:szCs w:val="18"/>
              </w:rPr>
            </w:pPr>
            <w:r w:rsidRPr="0061564F">
              <w:rPr>
                <w:rFonts w:cs="Arial"/>
                <w:sz w:val="18"/>
                <w:szCs w:val="18"/>
              </w:rPr>
              <w:t>Risk Assessment on a needs or case by case basis in this tier</w:t>
            </w:r>
          </w:p>
          <w:p w14:paraId="56186B51" w14:textId="77777777" w:rsidR="00F125A7" w:rsidRPr="0061564F" w:rsidRDefault="00F125A7" w:rsidP="0061564F">
            <w:pPr>
              <w:pStyle w:val="Bullet1"/>
              <w:rPr>
                <w:rFonts w:cs="Arial"/>
                <w:sz w:val="18"/>
                <w:szCs w:val="18"/>
              </w:rPr>
            </w:pPr>
            <w:r w:rsidRPr="0061564F">
              <w:rPr>
                <w:rFonts w:cs="Arial"/>
                <w:sz w:val="18"/>
                <w:szCs w:val="18"/>
              </w:rPr>
              <w:t xml:space="preserve">Consider mobility issues </w:t>
            </w:r>
          </w:p>
          <w:p w14:paraId="01D9F55F" w14:textId="77777777" w:rsidR="00F125A7" w:rsidRPr="0061564F" w:rsidRDefault="00F125A7" w:rsidP="0061564F">
            <w:pPr>
              <w:pStyle w:val="Bullet1"/>
              <w:rPr>
                <w:rFonts w:cs="Arial"/>
                <w:sz w:val="18"/>
                <w:szCs w:val="18"/>
              </w:rPr>
            </w:pPr>
            <w:r w:rsidRPr="0061564F">
              <w:rPr>
                <w:rFonts w:cs="Arial"/>
                <w:sz w:val="18"/>
                <w:szCs w:val="18"/>
              </w:rPr>
              <w:t>Consider communication challenges and language barriers</w:t>
            </w:r>
          </w:p>
          <w:p w14:paraId="21A6E30E" w14:textId="77777777" w:rsidR="00F125A7" w:rsidRPr="0061564F" w:rsidRDefault="00F125A7" w:rsidP="0061564F">
            <w:pPr>
              <w:pStyle w:val="Bullet1"/>
              <w:rPr>
                <w:rFonts w:cs="Arial"/>
                <w:sz w:val="18"/>
                <w:szCs w:val="18"/>
              </w:rPr>
            </w:pPr>
            <w:r w:rsidRPr="0061564F">
              <w:rPr>
                <w:rFonts w:cs="Arial"/>
                <w:sz w:val="18"/>
                <w:szCs w:val="18"/>
              </w:rPr>
              <w:t>For centre-based services (disability day centres) there may be staff who can be engaged to assist with COVIDsafe planning and communication with centre participants</w:t>
            </w:r>
          </w:p>
          <w:p w14:paraId="206CB3DC" w14:textId="421D32B5" w:rsidR="00F125A7" w:rsidRPr="0061564F" w:rsidRDefault="00F125A7" w:rsidP="0061564F">
            <w:pPr>
              <w:pStyle w:val="Bullet1"/>
              <w:rPr>
                <w:rFonts w:cs="Arial"/>
                <w:sz w:val="18"/>
                <w:szCs w:val="18"/>
              </w:rPr>
            </w:pPr>
            <w:r w:rsidRPr="0061564F">
              <w:rPr>
                <w:rFonts w:cs="Arial"/>
                <w:sz w:val="18"/>
                <w:szCs w:val="18"/>
              </w:rPr>
              <w:t>For backpacker accommodation and private hostels – focus on working with proprietors around prevention and preparedness strategies</w:t>
            </w:r>
          </w:p>
        </w:tc>
      </w:tr>
    </w:tbl>
    <w:p w14:paraId="27A83142" w14:textId="507D39C8" w:rsidR="0061564F" w:rsidRDefault="0061564F"/>
    <w:p w14:paraId="749025DD" w14:textId="434C71AD" w:rsidR="008E1F9A" w:rsidRPr="00384990" w:rsidRDefault="008E1F9A" w:rsidP="00993CE3">
      <w:pPr>
        <w:pStyle w:val="Heading3"/>
      </w:pPr>
      <w:r w:rsidRPr="00384990">
        <w:lastRenderedPageBreak/>
        <w:t xml:space="preserve">2.2 </w:t>
      </w:r>
      <w:r w:rsidR="00384990">
        <w:t>C</w:t>
      </w:r>
      <w:r w:rsidR="00384990" w:rsidRPr="00384990">
        <w:t>ommunity engagement</w:t>
      </w:r>
    </w:p>
    <w:p w14:paraId="7A90927F" w14:textId="131539BD" w:rsidR="008E1F9A" w:rsidRPr="00EB78F0" w:rsidRDefault="008E1F9A" w:rsidP="00EB78F0">
      <w:pPr>
        <w:pStyle w:val="DHHSbody"/>
        <w:rPr>
          <w:rStyle w:val="Strong"/>
        </w:rPr>
      </w:pPr>
      <w:r w:rsidRPr="00EB78F0">
        <w:rPr>
          <w:rStyle w:val="Strong"/>
        </w:rPr>
        <w:t>Tier and setting type(s)* service expectations and intervention</w:t>
      </w:r>
    </w:p>
    <w:tbl>
      <w:tblPr>
        <w:tblStyle w:val="TableGrid"/>
        <w:tblW w:w="15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Caption w:val="Table 2.2 Community engagement"/>
        <w:tblDescription w:val="Tier and setting type(s) service expectaions and interventions"/>
      </w:tblPr>
      <w:tblGrid>
        <w:gridCol w:w="2552"/>
        <w:gridCol w:w="2835"/>
        <w:gridCol w:w="2268"/>
        <w:gridCol w:w="2693"/>
        <w:gridCol w:w="2268"/>
        <w:gridCol w:w="2449"/>
      </w:tblGrid>
      <w:tr w:rsidR="008E1F9A" w14:paraId="73B2524C" w14:textId="77777777" w:rsidTr="00717ED8">
        <w:tc>
          <w:tcPr>
            <w:tcW w:w="2552" w:type="dxa"/>
            <w:shd w:val="clear" w:color="auto" w:fill="auto"/>
          </w:tcPr>
          <w:p w14:paraId="5B2B5E91" w14:textId="77777777" w:rsidR="00F125A7" w:rsidRPr="0061564F" w:rsidRDefault="00F125A7" w:rsidP="0061564F">
            <w:pPr>
              <w:pStyle w:val="DHHStabletext"/>
              <w:rPr>
                <w:b/>
                <w:bCs/>
                <w:sz w:val="18"/>
                <w:szCs w:val="18"/>
                <w:lang w:eastAsia="en-AU"/>
              </w:rPr>
            </w:pPr>
            <w:r w:rsidRPr="0061564F">
              <w:rPr>
                <w:b/>
                <w:bCs/>
                <w:sz w:val="18"/>
                <w:szCs w:val="18"/>
                <w:lang w:eastAsia="en-AU"/>
              </w:rPr>
              <w:t>All Tiers – Catchment Wide</w:t>
            </w:r>
          </w:p>
        </w:tc>
        <w:tc>
          <w:tcPr>
            <w:tcW w:w="2835" w:type="dxa"/>
            <w:shd w:val="clear" w:color="auto" w:fill="auto"/>
          </w:tcPr>
          <w:p w14:paraId="4CC9D40A" w14:textId="77777777" w:rsidR="0061564F" w:rsidRPr="0061564F" w:rsidRDefault="00F125A7" w:rsidP="0061564F">
            <w:pPr>
              <w:pStyle w:val="DHHStabletext"/>
              <w:rPr>
                <w:b/>
                <w:bCs/>
                <w:sz w:val="18"/>
                <w:szCs w:val="18"/>
                <w:lang w:eastAsia="en-AU"/>
              </w:rPr>
            </w:pPr>
            <w:r w:rsidRPr="0061564F">
              <w:rPr>
                <w:b/>
                <w:bCs/>
                <w:sz w:val="18"/>
                <w:szCs w:val="18"/>
                <w:lang w:eastAsia="en-AU"/>
              </w:rPr>
              <w:t>Tier 1a: Public Housing – High- Risk settings</w:t>
            </w:r>
          </w:p>
          <w:p w14:paraId="29D7BBA4" w14:textId="58F86865" w:rsidR="00F125A7" w:rsidRPr="0061564F" w:rsidRDefault="00F125A7" w:rsidP="0061564F">
            <w:pPr>
              <w:pStyle w:val="DHHStabletext"/>
              <w:rPr>
                <w:i/>
                <w:iCs/>
                <w:sz w:val="18"/>
                <w:szCs w:val="18"/>
                <w:lang w:eastAsia="en-AU"/>
              </w:rPr>
            </w:pPr>
            <w:r w:rsidRPr="0061564F">
              <w:rPr>
                <w:i/>
                <w:iCs/>
                <w:sz w:val="18"/>
                <w:szCs w:val="18"/>
                <w:lang w:eastAsia="en-AU"/>
              </w:rPr>
              <w:t>All high-rise public housing and high-risk medium-rise public housing</w:t>
            </w:r>
          </w:p>
        </w:tc>
        <w:tc>
          <w:tcPr>
            <w:tcW w:w="2268" w:type="dxa"/>
            <w:shd w:val="clear" w:color="auto" w:fill="auto"/>
          </w:tcPr>
          <w:p w14:paraId="544649AF" w14:textId="77777777" w:rsidR="00F125A7" w:rsidRPr="0061564F" w:rsidRDefault="00F125A7" w:rsidP="0061564F">
            <w:pPr>
              <w:pStyle w:val="DHHStabletext"/>
              <w:rPr>
                <w:rFonts w:cs="Arial"/>
                <w:b/>
                <w:bCs/>
                <w:sz w:val="18"/>
                <w:szCs w:val="18"/>
              </w:rPr>
            </w:pPr>
            <w:r w:rsidRPr="0061564F">
              <w:rPr>
                <w:b/>
                <w:bCs/>
                <w:sz w:val="18"/>
                <w:szCs w:val="18"/>
                <w:lang w:eastAsia="en-AU"/>
              </w:rPr>
              <w:t>Tier 1b – Public Housing low-risk settings</w:t>
            </w:r>
            <w:r w:rsidRPr="0061564F">
              <w:rPr>
                <w:rFonts w:cs="Arial"/>
                <w:b/>
                <w:bCs/>
                <w:sz w:val="18"/>
                <w:szCs w:val="18"/>
              </w:rPr>
              <w:t xml:space="preserve"> </w:t>
            </w:r>
          </w:p>
          <w:p w14:paraId="2785A6E0" w14:textId="769881AA" w:rsidR="00F125A7" w:rsidRPr="0061564F" w:rsidRDefault="00F125A7" w:rsidP="0061564F">
            <w:pPr>
              <w:pStyle w:val="DHHStabletext"/>
              <w:rPr>
                <w:sz w:val="18"/>
                <w:szCs w:val="18"/>
                <w:lang w:eastAsia="en-AU"/>
              </w:rPr>
            </w:pPr>
            <w:r w:rsidRPr="0061564F">
              <w:rPr>
                <w:rFonts w:cs="Arial"/>
                <w:i/>
                <w:iCs/>
                <w:sz w:val="18"/>
                <w:szCs w:val="18"/>
              </w:rPr>
              <w:t>Low-risk medium-rise and low-rise public housing</w:t>
            </w:r>
          </w:p>
        </w:tc>
        <w:tc>
          <w:tcPr>
            <w:tcW w:w="2693" w:type="dxa"/>
            <w:shd w:val="clear" w:color="auto" w:fill="auto"/>
          </w:tcPr>
          <w:p w14:paraId="7E752C3A" w14:textId="77777777" w:rsidR="0061564F" w:rsidRPr="0061564F" w:rsidRDefault="00F125A7" w:rsidP="0061564F">
            <w:pPr>
              <w:pStyle w:val="DHHStabletext"/>
              <w:rPr>
                <w:b/>
                <w:bCs/>
                <w:sz w:val="18"/>
                <w:szCs w:val="18"/>
                <w:lang w:eastAsia="en-AU"/>
              </w:rPr>
            </w:pPr>
            <w:r w:rsidRPr="0061564F">
              <w:rPr>
                <w:b/>
                <w:bCs/>
                <w:sz w:val="18"/>
                <w:szCs w:val="18"/>
                <w:lang w:eastAsia="en-AU"/>
              </w:rPr>
              <w:t>Tier 2: Staffed Accommodation facilities</w:t>
            </w:r>
          </w:p>
          <w:p w14:paraId="4D5FB338" w14:textId="0ABFE307" w:rsidR="00F125A7" w:rsidRPr="0061564F" w:rsidRDefault="00F125A7" w:rsidP="0061564F">
            <w:pPr>
              <w:pStyle w:val="DHHStabletext"/>
              <w:rPr>
                <w:i/>
                <w:iCs/>
                <w:sz w:val="18"/>
                <w:szCs w:val="18"/>
                <w:lang w:eastAsia="en-AU"/>
              </w:rPr>
            </w:pPr>
            <w:r w:rsidRPr="0061564F">
              <w:rPr>
                <w:i/>
                <w:iCs/>
                <w:sz w:val="18"/>
                <w:szCs w:val="18"/>
                <w:lang w:eastAsia="en-AU"/>
              </w:rPr>
              <w:t>Residential disability and Supported Residential Services (SRS)</w:t>
            </w:r>
          </w:p>
        </w:tc>
        <w:tc>
          <w:tcPr>
            <w:tcW w:w="2268" w:type="dxa"/>
            <w:shd w:val="clear" w:color="auto" w:fill="auto"/>
          </w:tcPr>
          <w:p w14:paraId="6B6B4EFF" w14:textId="2F7586EF" w:rsidR="00F125A7" w:rsidRPr="0061564F" w:rsidRDefault="00F125A7" w:rsidP="0061564F">
            <w:pPr>
              <w:pStyle w:val="DHHStabletext"/>
              <w:rPr>
                <w:b/>
                <w:bCs/>
                <w:sz w:val="18"/>
                <w:szCs w:val="18"/>
                <w:lang w:eastAsia="en-AU"/>
              </w:rPr>
            </w:pPr>
            <w:r w:rsidRPr="0061564F">
              <w:rPr>
                <w:b/>
                <w:bCs/>
                <w:sz w:val="18"/>
                <w:szCs w:val="18"/>
                <w:lang w:eastAsia="en-AU"/>
              </w:rPr>
              <w:t>Tier 3: Unstaffed Accommodation facilities</w:t>
            </w:r>
          </w:p>
          <w:p w14:paraId="0EC27CCF" w14:textId="77777777" w:rsidR="00F125A7" w:rsidRPr="0061564F" w:rsidRDefault="00F125A7" w:rsidP="0061564F">
            <w:pPr>
              <w:pStyle w:val="DHHStabletext"/>
              <w:rPr>
                <w:i/>
                <w:iCs/>
                <w:sz w:val="18"/>
                <w:szCs w:val="18"/>
                <w:lang w:eastAsia="en-AU"/>
              </w:rPr>
            </w:pPr>
            <w:r w:rsidRPr="0061564F">
              <w:rPr>
                <w:i/>
                <w:iCs/>
                <w:sz w:val="18"/>
                <w:szCs w:val="18"/>
                <w:lang w:eastAsia="en-AU"/>
              </w:rPr>
              <w:t>Rooming houses, community housing and caravan parks</w:t>
            </w:r>
          </w:p>
        </w:tc>
        <w:tc>
          <w:tcPr>
            <w:tcW w:w="2449" w:type="dxa"/>
            <w:shd w:val="clear" w:color="auto" w:fill="auto"/>
          </w:tcPr>
          <w:p w14:paraId="563AC187" w14:textId="75C20638" w:rsidR="00F125A7" w:rsidRPr="0061564F" w:rsidRDefault="00F125A7" w:rsidP="0061564F">
            <w:pPr>
              <w:pStyle w:val="DHHStabletext"/>
              <w:rPr>
                <w:b/>
                <w:bCs/>
                <w:sz w:val="18"/>
                <w:szCs w:val="18"/>
                <w:lang w:eastAsia="en-AU"/>
              </w:rPr>
            </w:pPr>
            <w:r w:rsidRPr="0061564F">
              <w:rPr>
                <w:b/>
                <w:bCs/>
                <w:sz w:val="18"/>
                <w:szCs w:val="18"/>
                <w:lang w:eastAsia="en-AU"/>
              </w:rPr>
              <w:t>Tier 4: Other Settings</w:t>
            </w:r>
          </w:p>
          <w:p w14:paraId="271F37F4" w14:textId="77777777" w:rsidR="00F125A7" w:rsidRPr="0061564F" w:rsidRDefault="00F125A7" w:rsidP="0061564F">
            <w:pPr>
              <w:pStyle w:val="DHHStabletext"/>
              <w:rPr>
                <w:i/>
                <w:iCs/>
                <w:sz w:val="18"/>
                <w:szCs w:val="18"/>
                <w:lang w:eastAsia="en-AU"/>
              </w:rPr>
            </w:pPr>
            <w:r w:rsidRPr="0061564F">
              <w:rPr>
                <w:i/>
                <w:iCs/>
                <w:sz w:val="18"/>
                <w:szCs w:val="18"/>
                <w:lang w:eastAsia="en-AU"/>
              </w:rPr>
              <w:t>Disability community-based settings, and other accommodation settings (including private hostels and backpacker accommodation)</w:t>
            </w:r>
          </w:p>
        </w:tc>
      </w:tr>
      <w:tr w:rsidR="008E1F9A" w14:paraId="2E7DC22C" w14:textId="77777777" w:rsidTr="00717ED8">
        <w:tc>
          <w:tcPr>
            <w:tcW w:w="2552" w:type="dxa"/>
            <w:shd w:val="clear" w:color="auto" w:fill="auto"/>
          </w:tcPr>
          <w:p w14:paraId="1B0C1277" w14:textId="77777777" w:rsidR="00F125A7" w:rsidRDefault="00F125A7" w:rsidP="002853C2">
            <w:pPr>
              <w:pStyle w:val="DHHStabletext9pt"/>
              <w:numPr>
                <w:ilvl w:val="0"/>
                <w:numId w:val="25"/>
              </w:numPr>
            </w:pPr>
            <w:r w:rsidRPr="00317193">
              <w:t>Catchment wide health promotion:</w:t>
            </w:r>
          </w:p>
          <w:p w14:paraId="392D2597" w14:textId="77777777" w:rsidR="00F125A7" w:rsidRDefault="00F125A7" w:rsidP="002853C2">
            <w:pPr>
              <w:pStyle w:val="DHHStabletext9pt"/>
              <w:numPr>
                <w:ilvl w:val="0"/>
                <w:numId w:val="26"/>
              </w:numPr>
            </w:pPr>
            <w:r w:rsidRPr="00317193">
              <w:t xml:space="preserve">Engage with residents and proprietors to help residents practise COVID-safe routines, prevent outbreaks and to lead local social recovery initiatives. </w:t>
            </w:r>
          </w:p>
          <w:p w14:paraId="1407DAD7" w14:textId="77777777" w:rsidR="00F125A7" w:rsidRDefault="00F125A7" w:rsidP="002853C2">
            <w:pPr>
              <w:pStyle w:val="DHHStabletext9pt"/>
              <w:numPr>
                <w:ilvl w:val="0"/>
                <w:numId w:val="26"/>
              </w:numPr>
            </w:pPr>
            <w:r w:rsidRPr="00004596">
              <w:t>Facilitate community engagement with diverse populations, access to interpreters and/or bi-cultural staff</w:t>
            </w:r>
          </w:p>
          <w:p w14:paraId="0C631A70" w14:textId="77777777" w:rsidR="00F125A7" w:rsidRPr="00000361" w:rsidRDefault="00F125A7" w:rsidP="002853C2">
            <w:pPr>
              <w:pStyle w:val="DHHStabletext9pt"/>
              <w:numPr>
                <w:ilvl w:val="0"/>
                <w:numId w:val="26"/>
              </w:numPr>
            </w:pPr>
            <w:r w:rsidRPr="00317193">
              <w:t>Deliver accessible communication and engagement strategies that support testing and help residents practise COVID-safe routines and information about vaccine roll out.</w:t>
            </w:r>
          </w:p>
        </w:tc>
        <w:tc>
          <w:tcPr>
            <w:tcW w:w="2835" w:type="dxa"/>
            <w:shd w:val="clear" w:color="auto" w:fill="auto"/>
          </w:tcPr>
          <w:p w14:paraId="50F9F43B" w14:textId="77777777" w:rsidR="00F125A7" w:rsidRPr="00EB06A7" w:rsidRDefault="00F125A7" w:rsidP="002853C2">
            <w:pPr>
              <w:pStyle w:val="DHHStabletext9pt"/>
              <w:numPr>
                <w:ilvl w:val="0"/>
                <w:numId w:val="27"/>
              </w:numPr>
              <w:rPr>
                <w:rFonts w:cs="Arial"/>
              </w:rPr>
            </w:pPr>
            <w:r w:rsidRPr="00EB06A7">
              <w:rPr>
                <w:rFonts w:cs="Arial"/>
              </w:rPr>
              <w:t>Onsite Health Concierge to support engagement:</w:t>
            </w:r>
          </w:p>
          <w:p w14:paraId="201B6875" w14:textId="77777777" w:rsidR="00F125A7" w:rsidRPr="001F676D" w:rsidRDefault="00F125A7" w:rsidP="002853C2">
            <w:pPr>
              <w:pStyle w:val="DHHStabletext9pt"/>
              <w:numPr>
                <w:ilvl w:val="0"/>
                <w:numId w:val="28"/>
              </w:numPr>
              <w:rPr>
                <w:rFonts w:cs="Arial"/>
              </w:rPr>
            </w:pPr>
            <w:r w:rsidRPr="001F676D">
              <w:rPr>
                <w:rFonts w:cs="Arial"/>
              </w:rPr>
              <w:t xml:space="preserve">Supports delivery of key messages and infection control strategies and information around vaccination </w:t>
            </w:r>
          </w:p>
          <w:p w14:paraId="56830EFE" w14:textId="77777777" w:rsidR="00F125A7" w:rsidRPr="001F676D" w:rsidRDefault="00F125A7" w:rsidP="002853C2">
            <w:pPr>
              <w:pStyle w:val="DHHStabletext9pt"/>
              <w:numPr>
                <w:ilvl w:val="0"/>
                <w:numId w:val="28"/>
              </w:numPr>
              <w:rPr>
                <w:rFonts w:cs="Arial"/>
              </w:rPr>
            </w:pPr>
            <w:r w:rsidRPr="001F676D">
              <w:rPr>
                <w:rFonts w:cs="Arial"/>
              </w:rPr>
              <w:t>Delivery of culturally appropriate and accessible communication and engagement strategies that support access to testing* and help residents to practice COVID-safe routines</w:t>
            </w:r>
          </w:p>
          <w:p w14:paraId="7CE312D7" w14:textId="77777777" w:rsidR="00F125A7" w:rsidRDefault="00F125A7" w:rsidP="002853C2">
            <w:pPr>
              <w:pStyle w:val="DHHStabletext9pt"/>
              <w:numPr>
                <w:ilvl w:val="0"/>
                <w:numId w:val="28"/>
              </w:numPr>
              <w:rPr>
                <w:rFonts w:cs="Arial"/>
              </w:rPr>
            </w:pPr>
            <w:r w:rsidRPr="001F676D">
              <w:rPr>
                <w:rFonts w:cs="Arial"/>
              </w:rPr>
              <w:t>Engagement/employment of local community members in prevention and preparedness and/or social recovery initiatives where possible</w:t>
            </w:r>
          </w:p>
          <w:p w14:paraId="2E56C9E0" w14:textId="77777777" w:rsidR="00F125A7" w:rsidRPr="00AF4590" w:rsidRDefault="00F125A7" w:rsidP="002853C2">
            <w:pPr>
              <w:pStyle w:val="DHHStabletext9pt"/>
              <w:numPr>
                <w:ilvl w:val="0"/>
                <w:numId w:val="28"/>
              </w:numPr>
              <w:rPr>
                <w:rFonts w:cs="Arial"/>
              </w:rPr>
            </w:pPr>
            <w:r w:rsidRPr="00DE2C08">
              <w:rPr>
                <w:rFonts w:cs="Arial"/>
              </w:rPr>
              <w:t>Supports provision of information about vaccination roll out when available</w:t>
            </w:r>
          </w:p>
        </w:tc>
        <w:tc>
          <w:tcPr>
            <w:tcW w:w="2268" w:type="dxa"/>
            <w:shd w:val="clear" w:color="auto" w:fill="auto"/>
          </w:tcPr>
          <w:p w14:paraId="528B754F" w14:textId="77777777" w:rsidR="00F125A7" w:rsidRPr="00F77EFE" w:rsidRDefault="00F125A7" w:rsidP="002853C2">
            <w:pPr>
              <w:pStyle w:val="DHHStabletext9pt"/>
              <w:numPr>
                <w:ilvl w:val="0"/>
                <w:numId w:val="27"/>
              </w:numPr>
              <w:rPr>
                <w:rFonts w:cs="Arial"/>
              </w:rPr>
            </w:pPr>
            <w:r w:rsidRPr="00F77EFE">
              <w:rPr>
                <w:rFonts w:cs="Arial"/>
              </w:rPr>
              <w:t>Community Engagement activities will be conducted at these settings on an as needs basis, encompassing approaches as detailed in all catchment approach.</w:t>
            </w:r>
          </w:p>
        </w:tc>
        <w:tc>
          <w:tcPr>
            <w:tcW w:w="2693" w:type="dxa"/>
            <w:shd w:val="clear" w:color="auto" w:fill="auto"/>
          </w:tcPr>
          <w:p w14:paraId="4B2036DC" w14:textId="77777777" w:rsidR="00F125A7" w:rsidRPr="007E3D33" w:rsidRDefault="00F125A7" w:rsidP="002853C2">
            <w:pPr>
              <w:pStyle w:val="DHHStabletext9pt"/>
              <w:numPr>
                <w:ilvl w:val="0"/>
                <w:numId w:val="27"/>
              </w:numPr>
            </w:pPr>
            <w:r w:rsidRPr="007E3D33">
              <w:t xml:space="preserve">Engage with residents, proprietors, staff and disability service providers and Peaks to help residents practice COVID-safe routines, prevent outbreaks and to lead local social recovery initiatives. </w:t>
            </w:r>
          </w:p>
          <w:p w14:paraId="2DE563A0" w14:textId="77777777" w:rsidR="00F125A7" w:rsidRDefault="00F125A7" w:rsidP="002853C2">
            <w:pPr>
              <w:pStyle w:val="DHHStabletext9pt"/>
              <w:numPr>
                <w:ilvl w:val="0"/>
                <w:numId w:val="27"/>
              </w:numPr>
            </w:pPr>
            <w:r w:rsidRPr="00C93B07">
              <w:t>Deliver accessible communication and engagement strategies that support access to testing and vaccination</w:t>
            </w:r>
          </w:p>
          <w:p w14:paraId="542BB276" w14:textId="77777777" w:rsidR="00F125A7" w:rsidRPr="00E85972" w:rsidRDefault="00F125A7" w:rsidP="002853C2">
            <w:pPr>
              <w:pStyle w:val="DHHStabletext9pt"/>
              <w:numPr>
                <w:ilvl w:val="0"/>
                <w:numId w:val="27"/>
              </w:numPr>
            </w:pPr>
            <w:r w:rsidRPr="00E85972">
              <w:t>Consider complex needs and ways to increase links with local community</w:t>
            </w:r>
          </w:p>
        </w:tc>
        <w:tc>
          <w:tcPr>
            <w:tcW w:w="2268" w:type="dxa"/>
            <w:shd w:val="clear" w:color="auto" w:fill="auto"/>
          </w:tcPr>
          <w:p w14:paraId="2B6A41B2" w14:textId="77777777" w:rsidR="00F125A7" w:rsidRPr="00606C5B" w:rsidRDefault="00F125A7" w:rsidP="002853C2">
            <w:pPr>
              <w:pStyle w:val="DHHStabletext9pt"/>
              <w:numPr>
                <w:ilvl w:val="0"/>
                <w:numId w:val="27"/>
              </w:numPr>
              <w:rPr>
                <w:rFonts w:cs="Arial"/>
              </w:rPr>
            </w:pPr>
            <w:r w:rsidRPr="00606C5B">
              <w:rPr>
                <w:rFonts w:cs="Arial"/>
              </w:rPr>
              <w:t>Facilitate community engagement with diverse populations, access to interpreters and/or bi-cultural staff</w:t>
            </w:r>
          </w:p>
          <w:p w14:paraId="26670190" w14:textId="77777777" w:rsidR="00F125A7" w:rsidRDefault="00F125A7" w:rsidP="002853C2">
            <w:pPr>
              <w:pStyle w:val="DHHStabletext9pt"/>
              <w:numPr>
                <w:ilvl w:val="0"/>
                <w:numId w:val="27"/>
              </w:numPr>
              <w:rPr>
                <w:rFonts w:cs="Arial"/>
              </w:rPr>
            </w:pPr>
            <w:r w:rsidRPr="00A97E19">
              <w:rPr>
                <w:rFonts w:cs="Arial"/>
              </w:rPr>
              <w:t>Caravan parks – focus on engagement with longer term residents and park proprietors</w:t>
            </w:r>
          </w:p>
          <w:p w14:paraId="58B3B81E" w14:textId="77777777" w:rsidR="00F125A7" w:rsidRDefault="00F125A7" w:rsidP="002853C2">
            <w:pPr>
              <w:pStyle w:val="DHHStabletext9pt"/>
              <w:numPr>
                <w:ilvl w:val="0"/>
                <w:numId w:val="27"/>
              </w:numPr>
              <w:rPr>
                <w:rFonts w:cs="Arial"/>
              </w:rPr>
            </w:pPr>
            <w:r w:rsidRPr="00A97E19">
              <w:rPr>
                <w:rFonts w:cs="Arial"/>
              </w:rPr>
              <w:t>Hostels – focus on engagement with proprietors and longer term residents</w:t>
            </w:r>
          </w:p>
          <w:p w14:paraId="01AB49B1" w14:textId="77777777" w:rsidR="00F125A7" w:rsidRPr="00606C5B" w:rsidRDefault="00F125A7" w:rsidP="002853C2">
            <w:pPr>
              <w:pStyle w:val="DHHStabletext9pt"/>
              <w:numPr>
                <w:ilvl w:val="0"/>
                <w:numId w:val="27"/>
              </w:numPr>
              <w:rPr>
                <w:rFonts w:cs="Arial"/>
              </w:rPr>
            </w:pPr>
            <w:r w:rsidRPr="00CF7117">
              <w:rPr>
                <w:rFonts w:cs="Arial"/>
              </w:rPr>
              <w:t>Consider opportunities to engage residents through onsite</w:t>
            </w:r>
            <w:r>
              <w:rPr>
                <w:rFonts w:cs="Arial"/>
              </w:rPr>
              <w:t xml:space="preserve"> </w:t>
            </w:r>
            <w:r w:rsidRPr="00CF7117">
              <w:rPr>
                <w:rFonts w:cs="Arial"/>
              </w:rPr>
              <w:t>incentives/</w:t>
            </w:r>
            <w:r>
              <w:rPr>
                <w:rFonts w:cs="Arial"/>
              </w:rPr>
              <w:t xml:space="preserve"> </w:t>
            </w:r>
            <w:r w:rsidRPr="00CF7117">
              <w:rPr>
                <w:rFonts w:cs="Arial"/>
              </w:rPr>
              <w:t>activities that encourage residents to seek out the service – e.g. free coffee (coffee van) as initial engagement tool</w:t>
            </w:r>
          </w:p>
        </w:tc>
        <w:tc>
          <w:tcPr>
            <w:tcW w:w="2449" w:type="dxa"/>
            <w:shd w:val="clear" w:color="auto" w:fill="auto"/>
          </w:tcPr>
          <w:p w14:paraId="2336C945" w14:textId="77777777" w:rsidR="00F125A7" w:rsidRDefault="00F125A7" w:rsidP="002853C2">
            <w:pPr>
              <w:pStyle w:val="DHHStabletext9pt"/>
              <w:numPr>
                <w:ilvl w:val="0"/>
                <w:numId w:val="27"/>
              </w:numPr>
              <w:rPr>
                <w:rFonts w:cs="Arial"/>
              </w:rPr>
            </w:pPr>
            <w:r w:rsidRPr="005D0341">
              <w:rPr>
                <w:rFonts w:cs="Arial"/>
              </w:rPr>
              <w:t>Facilitate community engagement with diverse populations, access to interpreters and/or bi-cultural staff</w:t>
            </w:r>
          </w:p>
          <w:p w14:paraId="07D417DE" w14:textId="77777777" w:rsidR="00F125A7" w:rsidRPr="005D0341" w:rsidRDefault="00F125A7" w:rsidP="002853C2">
            <w:pPr>
              <w:pStyle w:val="DHHStabletext9pt"/>
              <w:numPr>
                <w:ilvl w:val="0"/>
                <w:numId w:val="27"/>
              </w:numPr>
              <w:rPr>
                <w:rFonts w:cs="Arial"/>
              </w:rPr>
            </w:pPr>
            <w:r w:rsidRPr="005D0341">
              <w:rPr>
                <w:rFonts w:cs="Arial"/>
              </w:rPr>
              <w:t>Group living settings (e</w:t>
            </w:r>
            <w:r>
              <w:rPr>
                <w:rFonts w:cs="Arial"/>
              </w:rPr>
              <w:t>.g.</w:t>
            </w:r>
            <w:r w:rsidRPr="005D0341">
              <w:rPr>
                <w:rFonts w:cs="Arial"/>
              </w:rPr>
              <w:t xml:space="preserve"> hostels) – focus on engagement with longer term residents and proprietors </w:t>
            </w:r>
          </w:p>
          <w:p w14:paraId="6EA441D0" w14:textId="77777777" w:rsidR="00F125A7" w:rsidRPr="006D5BA6" w:rsidRDefault="00F125A7" w:rsidP="002853C2">
            <w:pPr>
              <w:pStyle w:val="DHHStabletext9pt"/>
              <w:numPr>
                <w:ilvl w:val="0"/>
                <w:numId w:val="27"/>
              </w:numPr>
              <w:rPr>
                <w:rFonts w:cs="Arial"/>
              </w:rPr>
            </w:pPr>
            <w:r w:rsidRPr="00D74A0D">
              <w:rPr>
                <w:rFonts w:cs="Arial"/>
              </w:rPr>
              <w:t xml:space="preserve">Consider opportunities to engage residents through onsite incentives/activities that encourage residents to seek out the service </w:t>
            </w:r>
            <w:r>
              <w:rPr>
                <w:rFonts w:cs="Arial"/>
              </w:rPr>
              <w:t>–</w:t>
            </w:r>
            <w:r w:rsidRPr="00D74A0D">
              <w:rPr>
                <w:rFonts w:cs="Arial"/>
              </w:rPr>
              <w:t xml:space="preserve"> e</w:t>
            </w:r>
            <w:r>
              <w:rPr>
                <w:rFonts w:cs="Arial"/>
              </w:rPr>
              <w:t>.</w:t>
            </w:r>
            <w:r w:rsidRPr="00D74A0D">
              <w:rPr>
                <w:rFonts w:cs="Arial"/>
              </w:rPr>
              <w:t>g</w:t>
            </w:r>
            <w:r>
              <w:rPr>
                <w:rFonts w:cs="Arial"/>
              </w:rPr>
              <w:t>.</w:t>
            </w:r>
            <w:r w:rsidRPr="00D74A0D">
              <w:rPr>
                <w:rFonts w:cs="Arial"/>
              </w:rPr>
              <w:t xml:space="preserve"> free coffee (coffee van) as initial engagement tool.</w:t>
            </w:r>
          </w:p>
        </w:tc>
      </w:tr>
    </w:tbl>
    <w:p w14:paraId="0EB5150E" w14:textId="008E4D60" w:rsidR="008E1F9A" w:rsidRDefault="008E1F9A" w:rsidP="00993CE3">
      <w:pPr>
        <w:pStyle w:val="Heading3"/>
      </w:pPr>
      <w:r>
        <w:lastRenderedPageBreak/>
        <w:t xml:space="preserve">2.3 </w:t>
      </w:r>
      <w:r w:rsidR="00384990">
        <w:t>P</w:t>
      </w:r>
      <w:r w:rsidR="00384990" w:rsidRPr="00003206">
        <w:t>revent and preparedness (including vaccination support)</w:t>
      </w:r>
    </w:p>
    <w:p w14:paraId="75853B3A" w14:textId="133E1A22" w:rsidR="008E1F9A" w:rsidRPr="00EB78F0" w:rsidRDefault="008E1F9A" w:rsidP="00EB78F0">
      <w:pPr>
        <w:pStyle w:val="DHHSbody"/>
        <w:rPr>
          <w:rStyle w:val="Strong"/>
        </w:rPr>
      </w:pPr>
      <w:r w:rsidRPr="00EB78F0">
        <w:rPr>
          <w:rStyle w:val="Strong"/>
        </w:rPr>
        <w:t>Tier and setting type(s)* service expectations and intervention</w:t>
      </w:r>
    </w:p>
    <w:tbl>
      <w:tblPr>
        <w:tblStyle w:val="TableGrid"/>
        <w:tblW w:w="15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Caption w:val="Table 2.3 Prevent and preparedness (including vaccination support)"/>
        <w:tblDescription w:val="Tier and setting type(s) service expectations and intervention"/>
      </w:tblPr>
      <w:tblGrid>
        <w:gridCol w:w="2836"/>
        <w:gridCol w:w="1842"/>
        <w:gridCol w:w="1701"/>
        <w:gridCol w:w="3969"/>
        <w:gridCol w:w="2268"/>
        <w:gridCol w:w="2449"/>
      </w:tblGrid>
      <w:tr w:rsidR="00F125A7" w14:paraId="78C771DC" w14:textId="77777777" w:rsidTr="00717ED8">
        <w:tc>
          <w:tcPr>
            <w:tcW w:w="2836" w:type="dxa"/>
            <w:shd w:val="clear" w:color="auto" w:fill="auto"/>
          </w:tcPr>
          <w:p w14:paraId="2C4FFEC8" w14:textId="77777777" w:rsidR="00F125A7" w:rsidRPr="008E1F9A" w:rsidRDefault="00F125A7" w:rsidP="008E1F9A">
            <w:pPr>
              <w:pStyle w:val="DHHStabletext9pt"/>
              <w:rPr>
                <w:b/>
                <w:bCs/>
              </w:rPr>
            </w:pPr>
            <w:r w:rsidRPr="008E1F9A">
              <w:rPr>
                <w:b/>
                <w:bCs/>
              </w:rPr>
              <w:t>All Tiers – Catchment Wide</w:t>
            </w:r>
          </w:p>
        </w:tc>
        <w:tc>
          <w:tcPr>
            <w:tcW w:w="1842" w:type="dxa"/>
            <w:shd w:val="clear" w:color="auto" w:fill="auto"/>
          </w:tcPr>
          <w:p w14:paraId="2E3F6216" w14:textId="77777777" w:rsidR="008E1F9A" w:rsidRPr="008E1F9A" w:rsidRDefault="00F125A7" w:rsidP="008E1F9A">
            <w:pPr>
              <w:pStyle w:val="DHHStabletext9pt"/>
              <w:rPr>
                <w:b/>
                <w:bCs/>
              </w:rPr>
            </w:pPr>
            <w:r w:rsidRPr="008E1F9A">
              <w:rPr>
                <w:b/>
                <w:bCs/>
              </w:rPr>
              <w:t>Tier 1a: Public Housing – High- Risk settings</w:t>
            </w:r>
          </w:p>
          <w:p w14:paraId="13EE1773" w14:textId="4BB65DF5" w:rsidR="00F125A7" w:rsidRPr="008E1F9A" w:rsidRDefault="00F125A7" w:rsidP="008E1F9A">
            <w:pPr>
              <w:pStyle w:val="DHHStabletext9pt"/>
              <w:rPr>
                <w:i/>
                <w:iCs/>
              </w:rPr>
            </w:pPr>
            <w:r w:rsidRPr="008E1F9A">
              <w:rPr>
                <w:i/>
                <w:iCs/>
              </w:rPr>
              <w:t>All high-rise public housing and high-risk medium-rise public housing</w:t>
            </w:r>
          </w:p>
        </w:tc>
        <w:tc>
          <w:tcPr>
            <w:tcW w:w="1701" w:type="dxa"/>
            <w:shd w:val="clear" w:color="auto" w:fill="auto"/>
          </w:tcPr>
          <w:p w14:paraId="3006539F" w14:textId="77777777" w:rsidR="00F125A7" w:rsidRPr="008E1F9A" w:rsidRDefault="00F125A7" w:rsidP="008E1F9A">
            <w:pPr>
              <w:pStyle w:val="DHHStabletext9pt"/>
              <w:rPr>
                <w:b/>
                <w:bCs/>
              </w:rPr>
            </w:pPr>
            <w:r w:rsidRPr="008E1F9A">
              <w:rPr>
                <w:b/>
                <w:bCs/>
              </w:rPr>
              <w:t xml:space="preserve">Tier 1b – Public Housing low-risk settings </w:t>
            </w:r>
          </w:p>
          <w:p w14:paraId="7DC2C11E" w14:textId="38BD81AF" w:rsidR="00F125A7" w:rsidRPr="008E1F9A" w:rsidRDefault="00F125A7" w:rsidP="008E1F9A">
            <w:pPr>
              <w:pStyle w:val="DHHStabletext9pt"/>
              <w:rPr>
                <w:i/>
                <w:iCs/>
              </w:rPr>
            </w:pPr>
            <w:r w:rsidRPr="008E1F9A">
              <w:rPr>
                <w:i/>
                <w:iCs/>
              </w:rPr>
              <w:t>Low-risk medium-rise and low-rise public housing</w:t>
            </w:r>
          </w:p>
        </w:tc>
        <w:tc>
          <w:tcPr>
            <w:tcW w:w="3969" w:type="dxa"/>
            <w:shd w:val="clear" w:color="auto" w:fill="auto"/>
          </w:tcPr>
          <w:p w14:paraId="536D331F" w14:textId="77777777" w:rsidR="008E1F9A" w:rsidRPr="008E1F9A" w:rsidRDefault="00F125A7" w:rsidP="008E1F9A">
            <w:pPr>
              <w:pStyle w:val="DHHStabletext9pt"/>
              <w:rPr>
                <w:b/>
                <w:bCs/>
              </w:rPr>
            </w:pPr>
            <w:r w:rsidRPr="008E1F9A">
              <w:rPr>
                <w:b/>
                <w:bCs/>
              </w:rPr>
              <w:t>Tier 2: Staffed Accommodation facilities</w:t>
            </w:r>
          </w:p>
          <w:p w14:paraId="33778B3E" w14:textId="0D500F72" w:rsidR="00F125A7" w:rsidRPr="008E1F9A" w:rsidRDefault="00F125A7" w:rsidP="008E1F9A">
            <w:pPr>
              <w:pStyle w:val="DHHStabletext9pt"/>
              <w:rPr>
                <w:i/>
                <w:iCs/>
              </w:rPr>
            </w:pPr>
            <w:r w:rsidRPr="008E1F9A">
              <w:rPr>
                <w:i/>
                <w:iCs/>
              </w:rPr>
              <w:t>Residential disability and Supported Residential Services (SRS)</w:t>
            </w:r>
          </w:p>
        </w:tc>
        <w:tc>
          <w:tcPr>
            <w:tcW w:w="2268" w:type="dxa"/>
            <w:shd w:val="clear" w:color="auto" w:fill="auto"/>
          </w:tcPr>
          <w:p w14:paraId="0C25A05E" w14:textId="2D4CC8D9" w:rsidR="00F125A7" w:rsidRPr="008E1F9A" w:rsidRDefault="00F125A7" w:rsidP="008E1F9A">
            <w:pPr>
              <w:pStyle w:val="DHHStabletext9pt"/>
            </w:pPr>
            <w:r w:rsidRPr="008E1F9A">
              <w:rPr>
                <w:b/>
                <w:bCs/>
              </w:rPr>
              <w:t>Tier 3: Unstaffed Accommodation facilities</w:t>
            </w:r>
          </w:p>
          <w:p w14:paraId="1A85FDA2" w14:textId="77777777" w:rsidR="00F125A7" w:rsidRPr="008E1F9A" w:rsidRDefault="00F125A7" w:rsidP="008E1F9A">
            <w:pPr>
              <w:pStyle w:val="DHHStabletext9pt"/>
              <w:rPr>
                <w:i/>
                <w:iCs/>
              </w:rPr>
            </w:pPr>
            <w:r w:rsidRPr="008E1F9A">
              <w:rPr>
                <w:i/>
                <w:iCs/>
              </w:rPr>
              <w:t>Rooming houses, community housing and caravan parks</w:t>
            </w:r>
          </w:p>
        </w:tc>
        <w:tc>
          <w:tcPr>
            <w:tcW w:w="2449" w:type="dxa"/>
            <w:shd w:val="clear" w:color="auto" w:fill="auto"/>
          </w:tcPr>
          <w:p w14:paraId="215FEE45" w14:textId="05266712" w:rsidR="00F125A7" w:rsidRPr="008E1F9A" w:rsidRDefault="00F125A7" w:rsidP="008E1F9A">
            <w:pPr>
              <w:pStyle w:val="DHHStabletext9pt"/>
              <w:rPr>
                <w:b/>
                <w:bCs/>
              </w:rPr>
            </w:pPr>
            <w:r w:rsidRPr="008E1F9A">
              <w:rPr>
                <w:b/>
                <w:bCs/>
              </w:rPr>
              <w:t>Tier 4: Other Settings</w:t>
            </w:r>
          </w:p>
          <w:p w14:paraId="78448C4E" w14:textId="77777777" w:rsidR="00F125A7" w:rsidRPr="008E1F9A" w:rsidRDefault="00F125A7" w:rsidP="008E1F9A">
            <w:pPr>
              <w:pStyle w:val="DHHStabletext9pt"/>
              <w:rPr>
                <w:i/>
                <w:iCs/>
              </w:rPr>
            </w:pPr>
            <w:r w:rsidRPr="008E1F9A">
              <w:rPr>
                <w:i/>
                <w:iCs/>
              </w:rPr>
              <w:t>Disability community-based settings, and other accommodation settings (including private hostels and backpacker accommodation)</w:t>
            </w:r>
          </w:p>
        </w:tc>
      </w:tr>
      <w:tr w:rsidR="00F125A7" w14:paraId="45919A63" w14:textId="77777777" w:rsidTr="00717ED8">
        <w:tc>
          <w:tcPr>
            <w:tcW w:w="2836" w:type="dxa"/>
            <w:shd w:val="clear" w:color="auto" w:fill="auto"/>
          </w:tcPr>
          <w:p w14:paraId="166809EC" w14:textId="77777777" w:rsidR="00F125A7" w:rsidRPr="008E1F9A" w:rsidRDefault="00F125A7" w:rsidP="002853C2">
            <w:pPr>
              <w:pStyle w:val="DHHStabletext9pt"/>
              <w:numPr>
                <w:ilvl w:val="0"/>
                <w:numId w:val="29"/>
              </w:numPr>
              <w:ind w:left="360"/>
            </w:pPr>
            <w:r w:rsidRPr="008E1F9A">
              <w:t>Assess infection prevention and control processes and provide information about vaccine roll out</w:t>
            </w:r>
          </w:p>
          <w:p w14:paraId="30516619" w14:textId="77777777" w:rsidR="00F125A7" w:rsidRPr="008E1F9A" w:rsidRDefault="00F125A7" w:rsidP="002853C2">
            <w:pPr>
              <w:pStyle w:val="DHHStabletext9pt"/>
              <w:numPr>
                <w:ilvl w:val="0"/>
                <w:numId w:val="29"/>
              </w:numPr>
              <w:ind w:left="360"/>
            </w:pPr>
            <w:r w:rsidRPr="008E1F9A">
              <w:t>Implement infection prevention and control education strategies - communications in easy read English and diverse languages as required</w:t>
            </w:r>
          </w:p>
          <w:p w14:paraId="3DC68BDF" w14:textId="77777777" w:rsidR="00F125A7" w:rsidRPr="008E1F9A" w:rsidRDefault="00F125A7" w:rsidP="002853C2">
            <w:pPr>
              <w:pStyle w:val="DHHStabletext9pt"/>
              <w:numPr>
                <w:ilvl w:val="0"/>
                <w:numId w:val="29"/>
              </w:numPr>
              <w:ind w:left="360"/>
            </w:pPr>
            <w:r w:rsidRPr="008E1F9A">
              <w:t>Establish / review outbreak management plan – document the plan and any changes to the plan, monitor for quality improvement etc</w:t>
            </w:r>
          </w:p>
          <w:p w14:paraId="04F0CC19" w14:textId="77777777" w:rsidR="00F125A7" w:rsidRPr="008E1F9A" w:rsidRDefault="00F125A7" w:rsidP="002853C2">
            <w:pPr>
              <w:pStyle w:val="DHHStabletext9pt"/>
              <w:numPr>
                <w:ilvl w:val="0"/>
                <w:numId w:val="29"/>
              </w:numPr>
              <w:ind w:left="360"/>
            </w:pPr>
            <w:r w:rsidRPr="008E1F9A">
              <w:t>Undertake active case finding, report on status of agreed actions and escalate as required</w:t>
            </w:r>
          </w:p>
          <w:p w14:paraId="3B5DC503" w14:textId="745E1341" w:rsidR="00F125A7" w:rsidRPr="008E1F9A" w:rsidRDefault="00F125A7" w:rsidP="002853C2">
            <w:pPr>
              <w:pStyle w:val="DHHStabletext9pt"/>
              <w:numPr>
                <w:ilvl w:val="0"/>
                <w:numId w:val="29"/>
              </w:numPr>
              <w:ind w:left="360"/>
            </w:pPr>
            <w:r w:rsidRPr="008E1F9A">
              <w:t>Support access to PPE and education around use of PPE as required</w:t>
            </w:r>
          </w:p>
        </w:tc>
        <w:tc>
          <w:tcPr>
            <w:tcW w:w="1842" w:type="dxa"/>
            <w:shd w:val="clear" w:color="auto" w:fill="auto"/>
          </w:tcPr>
          <w:p w14:paraId="175BD52A" w14:textId="77777777" w:rsidR="00F125A7" w:rsidRPr="008E1F9A" w:rsidRDefault="00F125A7" w:rsidP="002853C2">
            <w:pPr>
              <w:pStyle w:val="DHHStabletext9pt"/>
              <w:numPr>
                <w:ilvl w:val="0"/>
                <w:numId w:val="29"/>
              </w:numPr>
              <w:ind w:left="360"/>
            </w:pPr>
            <w:r w:rsidRPr="008E1F9A">
              <w:t>Communications around infection prevention, education and information strategies supported via Health Concierge model</w:t>
            </w:r>
          </w:p>
          <w:p w14:paraId="390D7444" w14:textId="77777777" w:rsidR="00F125A7" w:rsidRPr="008E1F9A" w:rsidRDefault="00F125A7" w:rsidP="002853C2">
            <w:pPr>
              <w:pStyle w:val="DHHStabletext9pt"/>
              <w:numPr>
                <w:ilvl w:val="0"/>
                <w:numId w:val="29"/>
              </w:numPr>
              <w:ind w:left="360"/>
            </w:pPr>
            <w:r w:rsidRPr="008E1F9A">
              <w:t>Health Concierge supports provision of information about vaccine roll out and planning</w:t>
            </w:r>
          </w:p>
          <w:p w14:paraId="54321D88" w14:textId="77777777" w:rsidR="00F125A7" w:rsidRPr="008E1F9A" w:rsidRDefault="00F125A7" w:rsidP="008E1F9A">
            <w:pPr>
              <w:pStyle w:val="DHHStabletext9pt"/>
            </w:pPr>
          </w:p>
        </w:tc>
        <w:tc>
          <w:tcPr>
            <w:tcW w:w="1701" w:type="dxa"/>
            <w:shd w:val="clear" w:color="auto" w:fill="auto"/>
          </w:tcPr>
          <w:p w14:paraId="21A3D987" w14:textId="77777777" w:rsidR="00F125A7" w:rsidRPr="008E1F9A" w:rsidRDefault="00F125A7" w:rsidP="002853C2">
            <w:pPr>
              <w:pStyle w:val="DHHStabletext9pt"/>
              <w:numPr>
                <w:ilvl w:val="0"/>
                <w:numId w:val="29"/>
              </w:numPr>
              <w:ind w:left="360"/>
            </w:pPr>
            <w:r w:rsidRPr="008E1F9A">
              <w:t xml:space="preserve">Preparedness and Prevention activities will be conducted at these settings on an as needs basis, encompassing approaches as detailed in all catchment approach. </w:t>
            </w:r>
          </w:p>
          <w:p w14:paraId="25DCD1D5" w14:textId="77777777" w:rsidR="00F125A7" w:rsidRPr="008E1F9A" w:rsidRDefault="00F125A7" w:rsidP="008E1F9A">
            <w:pPr>
              <w:pStyle w:val="DHHStabletext9pt"/>
            </w:pPr>
          </w:p>
        </w:tc>
        <w:tc>
          <w:tcPr>
            <w:tcW w:w="3969" w:type="dxa"/>
            <w:shd w:val="clear" w:color="auto" w:fill="auto"/>
          </w:tcPr>
          <w:p w14:paraId="236A9E4A" w14:textId="77777777" w:rsidR="00F125A7" w:rsidRPr="008E1F9A" w:rsidRDefault="00F125A7" w:rsidP="002853C2">
            <w:pPr>
              <w:pStyle w:val="DHHStabletext9pt"/>
              <w:numPr>
                <w:ilvl w:val="0"/>
                <w:numId w:val="29"/>
              </w:numPr>
              <w:ind w:left="360"/>
            </w:pPr>
            <w:r w:rsidRPr="008E1F9A">
              <w:t>Implement infection prevention and control education strategies for staff and residents – communications with residents is supported by staff and service providers</w:t>
            </w:r>
          </w:p>
          <w:p w14:paraId="4C47426A" w14:textId="77777777" w:rsidR="00F125A7" w:rsidRPr="008E1F9A" w:rsidRDefault="00F125A7" w:rsidP="002853C2">
            <w:pPr>
              <w:pStyle w:val="DHHStabletext9pt"/>
              <w:numPr>
                <w:ilvl w:val="0"/>
                <w:numId w:val="29"/>
              </w:numPr>
              <w:ind w:left="360"/>
            </w:pPr>
            <w:r w:rsidRPr="008E1F9A">
              <w:t xml:space="preserve">Ask whether they have an accessible outbreak plan and COVIDSafe plan </w:t>
            </w:r>
          </w:p>
          <w:p w14:paraId="64CBCBED" w14:textId="77777777" w:rsidR="00F125A7" w:rsidRPr="008E1F9A" w:rsidRDefault="00F125A7" w:rsidP="002853C2">
            <w:pPr>
              <w:pStyle w:val="DHHStabletext9pt"/>
              <w:numPr>
                <w:ilvl w:val="0"/>
                <w:numId w:val="29"/>
              </w:numPr>
              <w:ind w:left="360"/>
            </w:pPr>
            <w:r w:rsidRPr="008E1F9A">
              <w:t>Consider vaccine roll out and planning</w:t>
            </w:r>
          </w:p>
          <w:p w14:paraId="795B20C1" w14:textId="77777777" w:rsidR="00F125A7" w:rsidRPr="008E1F9A" w:rsidRDefault="00F125A7" w:rsidP="002853C2">
            <w:pPr>
              <w:pStyle w:val="DHHStabletext9pt"/>
              <w:numPr>
                <w:ilvl w:val="0"/>
                <w:numId w:val="29"/>
              </w:numPr>
              <w:ind w:left="360"/>
            </w:pPr>
            <w:r w:rsidRPr="008E1F9A">
              <w:t xml:space="preserve">Undertake active case finding, report on status of agreed actions and escalate as required </w:t>
            </w:r>
          </w:p>
          <w:p w14:paraId="38048E44" w14:textId="77777777" w:rsidR="00F125A7" w:rsidRPr="008E1F9A" w:rsidRDefault="00F125A7" w:rsidP="002853C2">
            <w:pPr>
              <w:pStyle w:val="DHHStabletext9pt"/>
              <w:numPr>
                <w:ilvl w:val="0"/>
                <w:numId w:val="29"/>
              </w:numPr>
              <w:ind w:left="360"/>
            </w:pPr>
            <w:r w:rsidRPr="008E1F9A">
              <w:t>Support access to PPE and education around use of PPE for staff and residents (including disposal of PPE)</w:t>
            </w:r>
          </w:p>
          <w:p w14:paraId="21D28DD0" w14:textId="77777777" w:rsidR="00F125A7" w:rsidRPr="008E1F9A" w:rsidRDefault="00F125A7" w:rsidP="002853C2">
            <w:pPr>
              <w:pStyle w:val="DHHStabletext9pt"/>
              <w:numPr>
                <w:ilvl w:val="0"/>
                <w:numId w:val="29"/>
              </w:numPr>
              <w:ind w:left="360"/>
            </w:pPr>
            <w:r w:rsidRPr="008E1F9A">
              <w:t>Establish processes for isolation in event of community outbreak</w:t>
            </w:r>
          </w:p>
          <w:p w14:paraId="25972680" w14:textId="77777777" w:rsidR="00F125A7" w:rsidRPr="008E1F9A" w:rsidRDefault="00F125A7" w:rsidP="002853C2">
            <w:pPr>
              <w:pStyle w:val="DHHStabletext9pt"/>
              <w:numPr>
                <w:ilvl w:val="0"/>
                <w:numId w:val="29"/>
              </w:numPr>
              <w:ind w:left="360"/>
            </w:pPr>
            <w:r w:rsidRPr="008E1F9A">
              <w:t>Consider any potential workforce risks (e.g. high workforce mobility)</w:t>
            </w:r>
          </w:p>
          <w:p w14:paraId="32ACD059" w14:textId="77777777" w:rsidR="00F125A7" w:rsidRPr="008E1F9A" w:rsidRDefault="00F125A7" w:rsidP="002853C2">
            <w:pPr>
              <w:pStyle w:val="DHHStabletext9pt"/>
              <w:numPr>
                <w:ilvl w:val="0"/>
                <w:numId w:val="29"/>
              </w:numPr>
              <w:ind w:left="360"/>
            </w:pPr>
            <w:r w:rsidRPr="008E1F9A">
              <w:t>For larger Disability Providers operating multiple disability residential sites, engagement may occur through central and a specific site may be selected for assessment and planning (with support of catchment Lead Provider) and strategies implemented across all other sites operated by the proprietor.</w:t>
            </w:r>
          </w:p>
        </w:tc>
        <w:tc>
          <w:tcPr>
            <w:tcW w:w="2268" w:type="dxa"/>
            <w:shd w:val="clear" w:color="auto" w:fill="auto"/>
          </w:tcPr>
          <w:p w14:paraId="2AC1A3A0" w14:textId="77777777" w:rsidR="00F125A7" w:rsidRPr="008E1F9A" w:rsidRDefault="00F125A7" w:rsidP="002853C2">
            <w:pPr>
              <w:pStyle w:val="DHHStabletext9pt"/>
              <w:numPr>
                <w:ilvl w:val="0"/>
                <w:numId w:val="29"/>
              </w:numPr>
              <w:ind w:left="360"/>
            </w:pPr>
            <w:r w:rsidRPr="008E1F9A">
              <w:t>For larger Community Housing proprietors, engagement may occur through central and a specific site may be selected for assessment and planning (with support of catchment Lead Provider) and strategies implemented across all other sites operated by the proprietor</w:t>
            </w:r>
          </w:p>
          <w:p w14:paraId="61AEFAED" w14:textId="77777777" w:rsidR="00F125A7" w:rsidRPr="008E1F9A" w:rsidRDefault="00F125A7" w:rsidP="008E1F9A">
            <w:pPr>
              <w:pStyle w:val="DHHStabletext9pt"/>
            </w:pPr>
          </w:p>
        </w:tc>
        <w:tc>
          <w:tcPr>
            <w:tcW w:w="2449" w:type="dxa"/>
            <w:shd w:val="clear" w:color="auto" w:fill="auto"/>
          </w:tcPr>
          <w:p w14:paraId="10DD5315" w14:textId="77777777" w:rsidR="00F125A7" w:rsidRPr="008E1F9A" w:rsidRDefault="00F125A7" w:rsidP="002853C2">
            <w:pPr>
              <w:pStyle w:val="DHHStabletext9pt"/>
              <w:numPr>
                <w:ilvl w:val="0"/>
                <w:numId w:val="29"/>
              </w:numPr>
              <w:ind w:left="360"/>
            </w:pPr>
            <w:r w:rsidRPr="008E1F9A">
              <w:t>Work with proprietors and longer term residents for backpacker and private hostel settings</w:t>
            </w:r>
          </w:p>
          <w:p w14:paraId="15C8FF35" w14:textId="77777777" w:rsidR="00F125A7" w:rsidRPr="008E1F9A" w:rsidRDefault="00F125A7" w:rsidP="002853C2">
            <w:pPr>
              <w:pStyle w:val="DHHStabletext9pt"/>
              <w:numPr>
                <w:ilvl w:val="0"/>
                <w:numId w:val="29"/>
              </w:numPr>
              <w:ind w:left="360"/>
            </w:pPr>
            <w:r w:rsidRPr="008E1F9A">
              <w:t>Disability day centres may have staff who can be engaged around COVID safe planning</w:t>
            </w:r>
          </w:p>
          <w:p w14:paraId="5AF35F08" w14:textId="77777777" w:rsidR="00F125A7" w:rsidRPr="008E1F9A" w:rsidRDefault="00F125A7" w:rsidP="008E1F9A">
            <w:pPr>
              <w:pStyle w:val="DHHStabletext9pt"/>
            </w:pPr>
          </w:p>
        </w:tc>
      </w:tr>
    </w:tbl>
    <w:p w14:paraId="7DDC91B1" w14:textId="1FD883B6" w:rsidR="00F125A7" w:rsidRDefault="00F125A7" w:rsidP="00F125A7"/>
    <w:p w14:paraId="4650B3F6" w14:textId="6BD13578" w:rsidR="008E1F9A" w:rsidRDefault="008E1F9A" w:rsidP="00993CE3">
      <w:pPr>
        <w:pStyle w:val="Heading3"/>
      </w:pPr>
      <w:r>
        <w:lastRenderedPageBreak/>
        <w:t xml:space="preserve">2.4 </w:t>
      </w:r>
      <w:r w:rsidR="00384990">
        <w:t>Active linkage to health and social supports</w:t>
      </w:r>
    </w:p>
    <w:p w14:paraId="7DB02AB8" w14:textId="6A63E11B" w:rsidR="008E1F9A" w:rsidRPr="00EB78F0" w:rsidRDefault="008E1F9A" w:rsidP="00EB78F0">
      <w:pPr>
        <w:pStyle w:val="DHHSbody"/>
        <w:rPr>
          <w:rStyle w:val="Strong"/>
        </w:rPr>
      </w:pPr>
      <w:r w:rsidRPr="00EB78F0">
        <w:rPr>
          <w:rStyle w:val="Strong"/>
        </w:rPr>
        <w:t>Tier and setting type(s)* service expectations and intervention</w:t>
      </w:r>
    </w:p>
    <w:tbl>
      <w:tblPr>
        <w:tblStyle w:val="TableGrid"/>
        <w:tblW w:w="15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Caption w:val="Table 2.4 Active linkage to health and social supports"/>
        <w:tblDescription w:val="Tier and setting type(s) service expectations and intervention"/>
      </w:tblPr>
      <w:tblGrid>
        <w:gridCol w:w="3010"/>
        <w:gridCol w:w="2836"/>
        <w:gridCol w:w="2220"/>
        <w:gridCol w:w="2707"/>
        <w:gridCol w:w="2127"/>
        <w:gridCol w:w="2441"/>
      </w:tblGrid>
      <w:tr w:rsidR="00F125A7" w14:paraId="75446270" w14:textId="77777777" w:rsidTr="00717ED8">
        <w:tc>
          <w:tcPr>
            <w:tcW w:w="3010" w:type="dxa"/>
            <w:shd w:val="clear" w:color="auto" w:fill="auto"/>
          </w:tcPr>
          <w:p w14:paraId="3FDD1403" w14:textId="77777777" w:rsidR="00F125A7" w:rsidRPr="008E1F9A" w:rsidRDefault="00F125A7" w:rsidP="008E1F9A">
            <w:pPr>
              <w:pStyle w:val="DHHStabletext9pt"/>
              <w:rPr>
                <w:b/>
                <w:bCs/>
              </w:rPr>
            </w:pPr>
            <w:r w:rsidRPr="008E1F9A">
              <w:rPr>
                <w:b/>
                <w:bCs/>
              </w:rPr>
              <w:t>All Tiers – Catchment Wide</w:t>
            </w:r>
          </w:p>
        </w:tc>
        <w:tc>
          <w:tcPr>
            <w:tcW w:w="2836" w:type="dxa"/>
            <w:shd w:val="clear" w:color="auto" w:fill="auto"/>
          </w:tcPr>
          <w:p w14:paraId="71727C6C" w14:textId="77777777" w:rsidR="008E1F9A" w:rsidRPr="008E1F9A" w:rsidRDefault="00F125A7" w:rsidP="008E1F9A">
            <w:pPr>
              <w:pStyle w:val="DHHStabletext9pt"/>
              <w:rPr>
                <w:b/>
                <w:bCs/>
              </w:rPr>
            </w:pPr>
            <w:r w:rsidRPr="008E1F9A">
              <w:rPr>
                <w:b/>
                <w:bCs/>
              </w:rPr>
              <w:t>Tier 1a: Public Housing – High- Risk settings</w:t>
            </w:r>
          </w:p>
          <w:p w14:paraId="1F558C83" w14:textId="3C0D9DFB" w:rsidR="00F125A7" w:rsidRPr="008E1F9A" w:rsidRDefault="00F125A7" w:rsidP="008E1F9A">
            <w:pPr>
              <w:pStyle w:val="DHHStabletext9pt"/>
              <w:rPr>
                <w:i/>
                <w:iCs/>
              </w:rPr>
            </w:pPr>
            <w:r w:rsidRPr="008E1F9A">
              <w:rPr>
                <w:i/>
                <w:iCs/>
              </w:rPr>
              <w:t>All high-rise public housing and high-risk medium-rise public housing</w:t>
            </w:r>
          </w:p>
        </w:tc>
        <w:tc>
          <w:tcPr>
            <w:tcW w:w="2220" w:type="dxa"/>
            <w:shd w:val="clear" w:color="auto" w:fill="auto"/>
          </w:tcPr>
          <w:p w14:paraId="2FFC33C4" w14:textId="301721BA" w:rsidR="00F125A7" w:rsidRPr="008E1F9A" w:rsidRDefault="00F125A7" w:rsidP="008E1F9A">
            <w:pPr>
              <w:pStyle w:val="DHHStabletext9pt"/>
              <w:rPr>
                <w:b/>
                <w:bCs/>
              </w:rPr>
            </w:pPr>
            <w:r w:rsidRPr="008E1F9A">
              <w:rPr>
                <w:b/>
                <w:bCs/>
              </w:rPr>
              <w:t>Tier 1b – Public Housing low-risk settings</w:t>
            </w:r>
          </w:p>
          <w:p w14:paraId="795AA630" w14:textId="6685A4FB" w:rsidR="00F125A7" w:rsidRPr="008E1F9A" w:rsidRDefault="00F125A7" w:rsidP="008E1F9A">
            <w:pPr>
              <w:pStyle w:val="DHHStabletext9pt"/>
              <w:rPr>
                <w:i/>
                <w:iCs/>
              </w:rPr>
            </w:pPr>
            <w:r w:rsidRPr="008E1F9A">
              <w:rPr>
                <w:i/>
                <w:iCs/>
              </w:rPr>
              <w:t>Low-risk medium-rise and low-rise public housing</w:t>
            </w:r>
          </w:p>
        </w:tc>
        <w:tc>
          <w:tcPr>
            <w:tcW w:w="2707" w:type="dxa"/>
            <w:shd w:val="clear" w:color="auto" w:fill="auto"/>
          </w:tcPr>
          <w:p w14:paraId="0C821029" w14:textId="77777777" w:rsidR="008E1F9A" w:rsidRPr="008E1F9A" w:rsidRDefault="00F125A7" w:rsidP="008E1F9A">
            <w:pPr>
              <w:pStyle w:val="DHHStabletext9pt"/>
              <w:rPr>
                <w:b/>
                <w:bCs/>
              </w:rPr>
            </w:pPr>
            <w:r w:rsidRPr="008E1F9A">
              <w:rPr>
                <w:b/>
                <w:bCs/>
              </w:rPr>
              <w:t>Tier 2: Staffed Accommodation facilities</w:t>
            </w:r>
          </w:p>
          <w:p w14:paraId="25A6844A" w14:textId="77E0F774" w:rsidR="00F125A7" w:rsidRPr="008E1F9A" w:rsidRDefault="00F125A7" w:rsidP="008E1F9A">
            <w:pPr>
              <w:pStyle w:val="DHHStabletext9pt"/>
              <w:rPr>
                <w:i/>
                <w:iCs/>
              </w:rPr>
            </w:pPr>
            <w:r w:rsidRPr="008E1F9A">
              <w:rPr>
                <w:i/>
                <w:iCs/>
              </w:rPr>
              <w:t>Residential disability and Supported Residential Services (SRS)</w:t>
            </w:r>
          </w:p>
        </w:tc>
        <w:tc>
          <w:tcPr>
            <w:tcW w:w="2127" w:type="dxa"/>
            <w:shd w:val="clear" w:color="auto" w:fill="auto"/>
          </w:tcPr>
          <w:p w14:paraId="002DC050" w14:textId="74B2B867" w:rsidR="00F125A7" w:rsidRPr="008E1F9A" w:rsidRDefault="00F125A7" w:rsidP="008E1F9A">
            <w:pPr>
              <w:pStyle w:val="DHHStabletext9pt"/>
              <w:rPr>
                <w:b/>
                <w:bCs/>
              </w:rPr>
            </w:pPr>
            <w:r w:rsidRPr="008E1F9A">
              <w:rPr>
                <w:b/>
                <w:bCs/>
              </w:rPr>
              <w:t>Tier 3: Unstaffed Accommodation facilities</w:t>
            </w:r>
          </w:p>
          <w:p w14:paraId="76375DBA" w14:textId="77777777" w:rsidR="00F125A7" w:rsidRPr="008E1F9A" w:rsidRDefault="00F125A7" w:rsidP="008E1F9A">
            <w:pPr>
              <w:pStyle w:val="DHHStabletext9pt"/>
              <w:rPr>
                <w:i/>
                <w:iCs/>
              </w:rPr>
            </w:pPr>
            <w:r w:rsidRPr="008E1F9A">
              <w:rPr>
                <w:i/>
                <w:iCs/>
              </w:rPr>
              <w:t>Rooming houses, community housing and caravan parks</w:t>
            </w:r>
          </w:p>
        </w:tc>
        <w:tc>
          <w:tcPr>
            <w:tcW w:w="2441" w:type="dxa"/>
            <w:shd w:val="clear" w:color="auto" w:fill="auto"/>
          </w:tcPr>
          <w:p w14:paraId="4513B044" w14:textId="07593A83" w:rsidR="00F125A7" w:rsidRPr="008E1F9A" w:rsidRDefault="00F125A7" w:rsidP="008E1F9A">
            <w:pPr>
              <w:pStyle w:val="DHHStabletext9pt"/>
              <w:rPr>
                <w:b/>
                <w:bCs/>
              </w:rPr>
            </w:pPr>
            <w:r w:rsidRPr="008E1F9A">
              <w:rPr>
                <w:b/>
                <w:bCs/>
              </w:rPr>
              <w:t>Tier 4: Other Settings</w:t>
            </w:r>
          </w:p>
          <w:p w14:paraId="1F5E0722" w14:textId="77777777" w:rsidR="00F125A7" w:rsidRPr="008E1F9A" w:rsidRDefault="00F125A7" w:rsidP="008E1F9A">
            <w:pPr>
              <w:pStyle w:val="DHHStabletext9pt"/>
              <w:rPr>
                <w:i/>
                <w:iCs/>
              </w:rPr>
            </w:pPr>
            <w:r w:rsidRPr="008E1F9A">
              <w:rPr>
                <w:i/>
                <w:iCs/>
              </w:rPr>
              <w:t>Disability community-based settings, and other accommodation settings (including private hostels and backpacker accommodation)</w:t>
            </w:r>
          </w:p>
        </w:tc>
      </w:tr>
      <w:tr w:rsidR="00F125A7" w14:paraId="13449C1B" w14:textId="77777777" w:rsidTr="00717ED8">
        <w:tc>
          <w:tcPr>
            <w:tcW w:w="3010" w:type="dxa"/>
            <w:shd w:val="clear" w:color="auto" w:fill="auto"/>
          </w:tcPr>
          <w:p w14:paraId="5B8160A4" w14:textId="77777777" w:rsidR="00F125A7" w:rsidRPr="008E1F9A" w:rsidRDefault="00F125A7" w:rsidP="008E1F9A">
            <w:pPr>
              <w:pStyle w:val="DHHStabletext9pt"/>
            </w:pPr>
            <w:r w:rsidRPr="008E1F9A">
              <w:t xml:space="preserve">Note initial presenting needs for residents/clients </w:t>
            </w:r>
          </w:p>
          <w:p w14:paraId="0D655A75" w14:textId="77777777" w:rsidR="00F125A7" w:rsidRPr="008E1F9A" w:rsidRDefault="00F125A7" w:rsidP="008E1F9A">
            <w:pPr>
              <w:pStyle w:val="DHHStabletext9pt"/>
            </w:pPr>
            <w:r w:rsidRPr="008E1F9A">
              <w:t>Use opportunities to create linkages for residents/clients with broader health and social systems to meet their needs (facilitate referrals and information provision)</w:t>
            </w:r>
          </w:p>
          <w:p w14:paraId="044BFD0B" w14:textId="77777777" w:rsidR="00F125A7" w:rsidRPr="008E1F9A" w:rsidRDefault="00F125A7" w:rsidP="008E1F9A">
            <w:pPr>
              <w:pStyle w:val="DHHStabletext9pt"/>
            </w:pPr>
            <w:r w:rsidRPr="008E1F9A">
              <w:t>Leverage existing local service networks</w:t>
            </w:r>
          </w:p>
          <w:p w14:paraId="72374DDC" w14:textId="77777777" w:rsidR="00F125A7" w:rsidRPr="008E1F9A" w:rsidRDefault="00F125A7" w:rsidP="008E1F9A">
            <w:pPr>
              <w:pStyle w:val="DHHStabletext9pt"/>
            </w:pPr>
            <w:r w:rsidRPr="008E1F9A">
              <w:t>Consider local initiatives / opportunities to promote social recovery at local level.</w:t>
            </w:r>
          </w:p>
        </w:tc>
        <w:tc>
          <w:tcPr>
            <w:tcW w:w="2836" w:type="dxa"/>
            <w:shd w:val="clear" w:color="auto" w:fill="auto"/>
          </w:tcPr>
          <w:p w14:paraId="4EB2D9F9" w14:textId="77777777" w:rsidR="00F125A7" w:rsidRPr="008E1F9A" w:rsidRDefault="00F125A7" w:rsidP="008E1F9A">
            <w:pPr>
              <w:pStyle w:val="DHHStabletext9pt"/>
            </w:pPr>
            <w:r w:rsidRPr="008E1F9A">
              <w:t>Consider strategies to build trust and enable provision of information about local support services</w:t>
            </w:r>
          </w:p>
          <w:p w14:paraId="3E60F269" w14:textId="77777777" w:rsidR="00F125A7" w:rsidRPr="008E1F9A" w:rsidRDefault="00F125A7" w:rsidP="008E1F9A">
            <w:pPr>
              <w:pStyle w:val="DHHStabletext9pt"/>
            </w:pPr>
            <w:r w:rsidRPr="008E1F9A">
              <w:t>Use Health Concierge model to support linkage work and broader community social recovery approaches</w:t>
            </w:r>
          </w:p>
        </w:tc>
        <w:tc>
          <w:tcPr>
            <w:tcW w:w="2220" w:type="dxa"/>
            <w:shd w:val="clear" w:color="auto" w:fill="auto"/>
          </w:tcPr>
          <w:p w14:paraId="28406E87" w14:textId="77777777" w:rsidR="00F125A7" w:rsidRPr="008E1F9A" w:rsidRDefault="00F125A7" w:rsidP="008E1F9A">
            <w:pPr>
              <w:pStyle w:val="DHHStabletext9pt"/>
            </w:pPr>
            <w:r w:rsidRPr="008E1F9A">
              <w:t>Active linkage activities will be conducted at these settings on an as needs basis, encompassing approaches as detailed in all catchment approach.</w:t>
            </w:r>
          </w:p>
        </w:tc>
        <w:tc>
          <w:tcPr>
            <w:tcW w:w="2707" w:type="dxa"/>
            <w:shd w:val="clear" w:color="auto" w:fill="auto"/>
          </w:tcPr>
          <w:p w14:paraId="4ADCF65A" w14:textId="77777777" w:rsidR="00F125A7" w:rsidRPr="008E1F9A" w:rsidRDefault="00F125A7" w:rsidP="008E1F9A">
            <w:pPr>
              <w:pStyle w:val="DHHStabletext9pt"/>
            </w:pPr>
            <w:r w:rsidRPr="008E1F9A">
              <w:t>Strive to improve connection between disability service providers and local health providers to increase access to local health services and drive improved health outcomes for residents with disability</w:t>
            </w:r>
          </w:p>
          <w:p w14:paraId="19E3B536" w14:textId="77777777" w:rsidR="00F125A7" w:rsidRPr="008E1F9A" w:rsidRDefault="00F125A7" w:rsidP="008E1F9A">
            <w:pPr>
              <w:pStyle w:val="DHHStabletext9pt"/>
            </w:pPr>
            <w:r w:rsidRPr="008E1F9A">
              <w:t>Consider social recovery at local level and improved connection between residents and local providers, focus on accessibility of services and venues</w:t>
            </w:r>
          </w:p>
        </w:tc>
        <w:tc>
          <w:tcPr>
            <w:tcW w:w="2127" w:type="dxa"/>
            <w:shd w:val="clear" w:color="auto" w:fill="auto"/>
          </w:tcPr>
          <w:p w14:paraId="4FAB9C47" w14:textId="77777777" w:rsidR="00F125A7" w:rsidRPr="008E1F9A" w:rsidRDefault="00F125A7" w:rsidP="008E1F9A">
            <w:pPr>
              <w:pStyle w:val="DHHStabletext9pt"/>
            </w:pPr>
          </w:p>
        </w:tc>
        <w:tc>
          <w:tcPr>
            <w:tcW w:w="2441" w:type="dxa"/>
            <w:shd w:val="clear" w:color="auto" w:fill="auto"/>
          </w:tcPr>
          <w:p w14:paraId="05972A76" w14:textId="77777777" w:rsidR="00F125A7" w:rsidRPr="008E1F9A" w:rsidRDefault="00F125A7" w:rsidP="008E1F9A">
            <w:pPr>
              <w:pStyle w:val="DHHStabletext9pt"/>
            </w:pPr>
          </w:p>
        </w:tc>
      </w:tr>
    </w:tbl>
    <w:p w14:paraId="49E98CE2" w14:textId="7429FF94" w:rsidR="00F125A7" w:rsidRDefault="00F125A7">
      <w:r>
        <w:br w:type="page"/>
      </w:r>
    </w:p>
    <w:p w14:paraId="0A3ECFD9" w14:textId="31A8572C" w:rsidR="008E1F9A" w:rsidRDefault="008E1F9A" w:rsidP="00993CE3">
      <w:pPr>
        <w:pStyle w:val="Heading3"/>
      </w:pPr>
      <w:r w:rsidRPr="008E1F9A">
        <w:lastRenderedPageBreak/>
        <w:t xml:space="preserve">2.5 </w:t>
      </w:r>
      <w:r w:rsidR="00384990">
        <w:t>O</w:t>
      </w:r>
      <w:r w:rsidR="00384990" w:rsidRPr="008E1F9A">
        <w:t>utbreak support</w:t>
      </w:r>
    </w:p>
    <w:p w14:paraId="61A8B7E7" w14:textId="62766B6F" w:rsidR="008E1F9A" w:rsidRPr="00EB78F0" w:rsidRDefault="008E1F9A" w:rsidP="00EB78F0">
      <w:pPr>
        <w:pStyle w:val="DHHSbody"/>
        <w:rPr>
          <w:rStyle w:val="Strong"/>
        </w:rPr>
      </w:pPr>
      <w:r w:rsidRPr="00EB78F0">
        <w:rPr>
          <w:rStyle w:val="Strong"/>
        </w:rPr>
        <w:t>Tier and setting type(s)* service expectations and intervention</w:t>
      </w:r>
    </w:p>
    <w:tbl>
      <w:tblPr>
        <w:tblStyle w:val="TableGrid"/>
        <w:tblW w:w="15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Caption w:val="Table 2.5 Outbreak support"/>
        <w:tblDescription w:val="Tier and setting type(s) service expectations and intervention"/>
      </w:tblPr>
      <w:tblGrid>
        <w:gridCol w:w="15341"/>
      </w:tblGrid>
      <w:tr w:rsidR="00F125A7" w14:paraId="14F9FBCC" w14:textId="77777777" w:rsidTr="00717ED8">
        <w:tc>
          <w:tcPr>
            <w:tcW w:w="15341" w:type="dxa"/>
            <w:shd w:val="clear" w:color="auto" w:fill="auto"/>
          </w:tcPr>
          <w:p w14:paraId="211DF2D8" w14:textId="74046CEB" w:rsidR="00F125A7" w:rsidRPr="008E1F9A" w:rsidRDefault="00F125A7" w:rsidP="008E1F9A">
            <w:pPr>
              <w:pStyle w:val="DHHStabletext9pt"/>
              <w:rPr>
                <w:b/>
                <w:bCs/>
              </w:rPr>
            </w:pPr>
            <w:r w:rsidRPr="008E1F9A">
              <w:rPr>
                <w:b/>
                <w:bCs/>
              </w:rPr>
              <w:t>All Tiers – Catchment Wide</w:t>
            </w:r>
          </w:p>
        </w:tc>
      </w:tr>
      <w:tr w:rsidR="00F125A7" w14:paraId="6EC7AE87" w14:textId="77777777" w:rsidTr="00717ED8">
        <w:tc>
          <w:tcPr>
            <w:tcW w:w="15341" w:type="dxa"/>
            <w:shd w:val="clear" w:color="auto" w:fill="auto"/>
          </w:tcPr>
          <w:p w14:paraId="553D84D8" w14:textId="77777777" w:rsidR="00F125A7" w:rsidRPr="008E1F9A" w:rsidRDefault="00F125A7" w:rsidP="002853C2">
            <w:pPr>
              <w:pStyle w:val="DHHStabletext9pt"/>
              <w:numPr>
                <w:ilvl w:val="0"/>
                <w:numId w:val="30"/>
              </w:numPr>
              <w:rPr>
                <w:rFonts w:eastAsia="Cambria"/>
              </w:rPr>
            </w:pPr>
            <w:r w:rsidRPr="008E1F9A">
              <w:t xml:space="preserve">Support the </w:t>
            </w:r>
            <w:r w:rsidRPr="008E1F9A">
              <w:rPr>
                <w:rFonts w:eastAsia="Cambria"/>
              </w:rPr>
              <w:t xml:space="preserve">DDH and DFFH to respond to COVID-19 outbreaks and cases at the local level, including as part of Incident Management Teams and Outbreak Management Teams. </w:t>
            </w:r>
          </w:p>
          <w:p w14:paraId="341E341A" w14:textId="77777777" w:rsidR="00F125A7" w:rsidRPr="008E1F9A" w:rsidRDefault="00F125A7" w:rsidP="002853C2">
            <w:pPr>
              <w:pStyle w:val="DHHStabletext9pt"/>
              <w:numPr>
                <w:ilvl w:val="0"/>
                <w:numId w:val="30"/>
              </w:numPr>
            </w:pPr>
            <w:r w:rsidRPr="008E1F9A">
              <w:t>Identify need for support to self-isolate &amp; facilitate as required</w:t>
            </w:r>
          </w:p>
          <w:p w14:paraId="05C196ED" w14:textId="77777777" w:rsidR="00F125A7" w:rsidRPr="008E1F9A" w:rsidRDefault="00F125A7" w:rsidP="002853C2">
            <w:pPr>
              <w:pStyle w:val="DHHStabletext9pt"/>
              <w:numPr>
                <w:ilvl w:val="0"/>
                <w:numId w:val="30"/>
              </w:numPr>
            </w:pPr>
            <w:r w:rsidRPr="008E1F9A">
              <w:t>Identify need and facilitate access to food and essential supplies (connect to relief supports).</w:t>
            </w:r>
          </w:p>
        </w:tc>
      </w:tr>
    </w:tbl>
    <w:p w14:paraId="2DC0A4A6" w14:textId="77777777" w:rsidR="00E40AC4" w:rsidRDefault="00F125A7" w:rsidP="008E1F9A">
      <w:pPr>
        <w:pStyle w:val="DHHStablefigurenote"/>
        <w:rPr>
          <w:szCs w:val="21"/>
          <w:u w:val="dotted"/>
        </w:rPr>
      </w:pPr>
      <w:r w:rsidRPr="005B3D28">
        <w:rPr>
          <w:rFonts w:eastAsia="Arial"/>
        </w:rPr>
        <w:t xml:space="preserve">*NB: </w:t>
      </w:r>
      <w:r w:rsidRPr="005B3D28">
        <w:rPr>
          <w:rFonts w:eastAsia="Arial"/>
          <w:b/>
        </w:rPr>
        <w:t>Access to COVID-19 testing</w:t>
      </w:r>
      <w:r w:rsidRPr="005B3D28">
        <w:rPr>
          <w:rFonts w:eastAsia="Arial"/>
        </w:rPr>
        <w:t xml:space="preserve"> will generally be through supporting residents/clients to attend Department of Health operated testing sites, or through </w:t>
      </w:r>
      <w:r>
        <w:rPr>
          <w:rFonts w:eastAsia="Arial"/>
        </w:rPr>
        <w:t>Rapid Response Testing</w:t>
      </w:r>
      <w:r w:rsidRPr="005B3D28">
        <w:rPr>
          <w:rFonts w:eastAsia="Arial"/>
        </w:rPr>
        <w:t xml:space="preserve"> facilitated by DH. There may be circumstances where Lead Providers have capacity to offer individual onsite tests to residents/clients, at the discretion of the Lead Provider (some Lead Providers have this capability but no</w:t>
      </w:r>
      <w:bookmarkEnd w:id="88"/>
      <w:r w:rsidR="00260557">
        <w:rPr>
          <w:rFonts w:eastAsia="Arial"/>
        </w:rPr>
        <w:t>t all) </w:t>
      </w:r>
      <w:r w:rsidR="00260557" w:rsidRPr="00664CC1">
        <w:rPr>
          <w:szCs w:val="21"/>
          <w:u w:val="dotted"/>
        </w:rPr>
        <w:t xml:space="preserve"> </w:t>
      </w:r>
    </w:p>
    <w:p w14:paraId="5CAAAF4D" w14:textId="3B28F80B" w:rsidR="00260557" w:rsidRDefault="00260557" w:rsidP="00260557">
      <w:pPr>
        <w:spacing w:after="160" w:line="259" w:lineRule="auto"/>
        <w:rPr>
          <w:rFonts w:cs="Arial"/>
          <w:szCs w:val="21"/>
          <w:u w:val="dotted"/>
        </w:rPr>
        <w:sectPr w:rsidR="00260557" w:rsidSect="00FF006A">
          <w:headerReference w:type="even" r:id="rId39"/>
          <w:headerReference w:type="default" r:id="rId40"/>
          <w:footerReference w:type="even" r:id="rId41"/>
          <w:footerReference w:type="default" r:id="rId42"/>
          <w:pgSz w:w="16838" w:h="11906" w:orient="landscape" w:code="9"/>
          <w:pgMar w:top="720" w:right="720" w:bottom="720" w:left="567" w:header="680" w:footer="851" w:gutter="0"/>
          <w:cols w:space="340"/>
          <w:docGrid w:linePitch="360"/>
        </w:sectPr>
      </w:pPr>
    </w:p>
    <w:p w14:paraId="1B13FD68" w14:textId="3DE3EBAA" w:rsidR="00260557" w:rsidRPr="00216282" w:rsidRDefault="00260557" w:rsidP="00260557">
      <w:pPr>
        <w:pStyle w:val="Heading2"/>
      </w:pPr>
      <w:bookmarkStart w:id="89" w:name="_Toc93219803"/>
      <w:bookmarkStart w:id="90" w:name="_Toc93905416"/>
      <w:r>
        <w:lastRenderedPageBreak/>
        <w:t xml:space="preserve">Appendix 3: </w:t>
      </w:r>
      <w:r w:rsidRPr="00216282">
        <w:t>Contract Specifications</w:t>
      </w:r>
      <w:bookmarkEnd w:id="89"/>
      <w:bookmarkEnd w:id="90"/>
    </w:p>
    <w:p w14:paraId="68ED4FDA" w14:textId="77777777" w:rsidR="00260557" w:rsidRPr="00216282" w:rsidRDefault="00260557" w:rsidP="00260557">
      <w:pPr>
        <w:pStyle w:val="Heading3"/>
      </w:pPr>
      <w:r w:rsidRPr="00216282">
        <w:t>Legal obligations to employees and contractors</w:t>
      </w:r>
    </w:p>
    <w:p w14:paraId="731D4C90" w14:textId="77777777" w:rsidR="00260557" w:rsidRPr="00664CC1" w:rsidRDefault="00260557" w:rsidP="00ED2953">
      <w:pPr>
        <w:pStyle w:val="DHHSbody"/>
      </w:pPr>
      <w:r w:rsidRPr="00664CC1">
        <w:t>Employers and employees of organisations operating in Victoria must comply with the workplace directions pursuant to section 200(1)(d) of the</w:t>
      </w:r>
      <w:r w:rsidRPr="00664CC1">
        <w:rPr>
          <w:i/>
          <w:iCs/>
        </w:rPr>
        <w:t xml:space="preserve"> Public Health and Wellbeing Act 2008 (Vic).</w:t>
      </w:r>
      <w:r w:rsidRPr="00664CC1">
        <w:t xml:space="preserve"> </w:t>
      </w:r>
    </w:p>
    <w:p w14:paraId="460F1F82" w14:textId="35105569" w:rsidR="00260557" w:rsidRPr="00664CC1" w:rsidRDefault="00260557" w:rsidP="00ED2953">
      <w:pPr>
        <w:pStyle w:val="DHHSbody"/>
      </w:pPr>
      <w:r w:rsidRPr="00664CC1">
        <w:t xml:space="preserve">The department has an obligation under the </w:t>
      </w:r>
      <w:hyperlink r:id="rId43" w:history="1">
        <w:r w:rsidRPr="00664CC1">
          <w:rPr>
            <w:rStyle w:val="Hyperlink"/>
            <w:i/>
            <w:sz w:val="21"/>
            <w:szCs w:val="21"/>
          </w:rPr>
          <w:t>Occupational Health and Safety Act,</w:t>
        </w:r>
        <w:r w:rsidRPr="00664CC1">
          <w:rPr>
            <w:rStyle w:val="Hyperlink"/>
            <w:sz w:val="21"/>
            <w:szCs w:val="21"/>
          </w:rPr>
          <w:t xml:space="preserve"> 2004</w:t>
        </w:r>
      </w:hyperlink>
      <w:r w:rsidRPr="00664CC1">
        <w:t xml:space="preserve"> </w:t>
      </w:r>
      <w:r w:rsidR="008E1F9A" w:rsidRPr="008E1F9A">
        <w:t>&lt;</w:t>
      </w:r>
      <w:hyperlink r:id="rId44" w:history="1">
        <w:r w:rsidR="008E1F9A" w:rsidRPr="008E1F9A">
          <w:t>https://www.legislation.vic.gov.au/in-force/acts/occupational-health-and-safety-act-2004/038</w:t>
        </w:r>
      </w:hyperlink>
      <w:r w:rsidR="008E1F9A" w:rsidRPr="008E1F9A">
        <w:t>&gt;</w:t>
      </w:r>
      <w:r w:rsidR="008E1F9A">
        <w:t xml:space="preserve"> </w:t>
      </w:r>
      <w:r w:rsidRPr="00664CC1">
        <w:t xml:space="preserve">to provide and maintain a working environment for its employees that is, so far as is reasonably practicable, safe and without </w:t>
      </w:r>
      <w:r w:rsidR="00C259AE">
        <w:br/>
      </w:r>
      <w:r w:rsidRPr="00664CC1">
        <w:t>risks to health.</w:t>
      </w:r>
    </w:p>
    <w:p w14:paraId="4D3886FB" w14:textId="77777777" w:rsidR="00260557" w:rsidRPr="00664CC1" w:rsidRDefault="00260557" w:rsidP="00ED2953">
      <w:pPr>
        <w:pStyle w:val="DHHSbody"/>
      </w:pPr>
      <w:r w:rsidRPr="00664CC1">
        <w:t>Provision of a safe working environment includes:</w:t>
      </w:r>
    </w:p>
    <w:p w14:paraId="0C9F3356" w14:textId="77777777" w:rsidR="00260557" w:rsidRPr="008E1F9A" w:rsidRDefault="00260557" w:rsidP="002853C2">
      <w:pPr>
        <w:pStyle w:val="DHHSbullet1"/>
        <w:numPr>
          <w:ilvl w:val="0"/>
          <w:numId w:val="32"/>
        </w:numPr>
      </w:pPr>
      <w:r w:rsidRPr="008E1F9A">
        <w:t>Providing and maintaining safe plant/equipment and systems of work</w:t>
      </w:r>
    </w:p>
    <w:p w14:paraId="52813026" w14:textId="17C2C379" w:rsidR="00260557" w:rsidRPr="008E1F9A" w:rsidRDefault="00260557" w:rsidP="002853C2">
      <w:pPr>
        <w:pStyle w:val="DHHSbullet1"/>
        <w:numPr>
          <w:ilvl w:val="0"/>
          <w:numId w:val="32"/>
        </w:numPr>
      </w:pPr>
      <w:r w:rsidRPr="008E1F9A">
        <w:t xml:space="preserve">Making arrangements for the absence of risks in connection with the use, handling, storage or transport of plant </w:t>
      </w:r>
      <w:r w:rsidR="00C259AE">
        <w:br/>
      </w:r>
      <w:r w:rsidRPr="008E1F9A">
        <w:t>or substance</w:t>
      </w:r>
    </w:p>
    <w:p w14:paraId="41210DB4" w14:textId="77777777" w:rsidR="00260557" w:rsidRPr="008E1F9A" w:rsidRDefault="00260557" w:rsidP="002853C2">
      <w:pPr>
        <w:pStyle w:val="DHHSbullet1"/>
        <w:numPr>
          <w:ilvl w:val="0"/>
          <w:numId w:val="32"/>
        </w:numPr>
      </w:pPr>
      <w:r w:rsidRPr="008E1F9A">
        <w:t>Maintaining each workplace under the employer's management and control in a condition that is safe and without risks to health</w:t>
      </w:r>
    </w:p>
    <w:p w14:paraId="2C177B72" w14:textId="25D1B1AE" w:rsidR="00260557" w:rsidRPr="008E1F9A" w:rsidRDefault="00260557" w:rsidP="002853C2">
      <w:pPr>
        <w:pStyle w:val="DHHSbullet1"/>
        <w:numPr>
          <w:ilvl w:val="0"/>
          <w:numId w:val="32"/>
        </w:numPr>
      </w:pPr>
      <w:r w:rsidRPr="008E1F9A">
        <w:t xml:space="preserve">Providing adequate facilities for the welfare of employees at any workplace under the management and control </w:t>
      </w:r>
      <w:r w:rsidR="00C259AE">
        <w:br/>
      </w:r>
      <w:r w:rsidRPr="008E1F9A">
        <w:t>of the employer</w:t>
      </w:r>
    </w:p>
    <w:p w14:paraId="1BE7A214" w14:textId="77777777" w:rsidR="00260557" w:rsidRPr="008E1F9A" w:rsidRDefault="00260557" w:rsidP="002853C2">
      <w:pPr>
        <w:pStyle w:val="DHHSbullet1"/>
        <w:numPr>
          <w:ilvl w:val="0"/>
          <w:numId w:val="32"/>
        </w:numPr>
      </w:pPr>
      <w:r w:rsidRPr="008E1F9A">
        <w:t>Providing such information, instruction, training or supervision to employees as is necessary to enable those persons to perform their work in a way that is safe and without risks to health</w:t>
      </w:r>
    </w:p>
    <w:p w14:paraId="20418EB1" w14:textId="77777777" w:rsidR="00260557" w:rsidRPr="008E1F9A" w:rsidRDefault="00260557" w:rsidP="002853C2">
      <w:pPr>
        <w:pStyle w:val="DHHSbullet1"/>
        <w:numPr>
          <w:ilvl w:val="0"/>
          <w:numId w:val="32"/>
        </w:numPr>
      </w:pPr>
      <w:r w:rsidRPr="008E1F9A">
        <w:t>Monitoring the health of employees</w:t>
      </w:r>
    </w:p>
    <w:p w14:paraId="0E0BE356" w14:textId="77777777" w:rsidR="00260557" w:rsidRPr="008E1F9A" w:rsidRDefault="00260557" w:rsidP="002853C2">
      <w:pPr>
        <w:pStyle w:val="DHHSbullet1"/>
        <w:numPr>
          <w:ilvl w:val="0"/>
          <w:numId w:val="32"/>
        </w:numPr>
      </w:pPr>
      <w:r w:rsidRPr="008E1F9A">
        <w:t>Monitoring conditions at any workplace under the employer's management and control.</w:t>
      </w:r>
    </w:p>
    <w:p w14:paraId="791D1535" w14:textId="77777777" w:rsidR="00260557" w:rsidRPr="008E1F9A" w:rsidRDefault="00260557" w:rsidP="008E1F9A">
      <w:pPr>
        <w:pStyle w:val="DHHSbodyafterbullets"/>
      </w:pPr>
      <w:r w:rsidRPr="008E1F9A">
        <w:rPr>
          <w:rStyle w:val="Emphasis"/>
        </w:rPr>
        <w:t>Important</w:t>
      </w:r>
      <w:r w:rsidRPr="008E1F9A">
        <w:t xml:space="preserve"> </w:t>
      </w:r>
      <w:r w:rsidRPr="008E1F9A">
        <w:rPr>
          <w:rStyle w:val="Emphasis"/>
        </w:rPr>
        <w:t>note:</w:t>
      </w:r>
    </w:p>
    <w:p w14:paraId="6BC39095" w14:textId="77777777" w:rsidR="00260557" w:rsidRPr="008E1F9A" w:rsidRDefault="00260557" w:rsidP="002853C2">
      <w:pPr>
        <w:pStyle w:val="DHHSbullet1"/>
        <w:numPr>
          <w:ilvl w:val="0"/>
          <w:numId w:val="31"/>
        </w:numPr>
      </w:pPr>
      <w:r w:rsidRPr="008E1F9A">
        <w:t>A reference to an employee includes a reference to an independent contractor engaged by an employer and any employees of the independent contractor.</w:t>
      </w:r>
    </w:p>
    <w:p w14:paraId="488E878F" w14:textId="77777777" w:rsidR="00260557" w:rsidRPr="008E1F9A" w:rsidRDefault="00260557" w:rsidP="002853C2">
      <w:pPr>
        <w:pStyle w:val="DHHSbullet1"/>
        <w:numPr>
          <w:ilvl w:val="0"/>
          <w:numId w:val="31"/>
        </w:numPr>
      </w:pPr>
      <w:r w:rsidRPr="008E1F9A">
        <w:t>The duties of an employer extend to the independent contractor engaged, and any employees of the independent contractor, in relation to matters over which the employer has control or would have control if not for any agreement purporting to limit or remove that control.</w:t>
      </w:r>
    </w:p>
    <w:p w14:paraId="1EF3544A" w14:textId="77777777" w:rsidR="00260557" w:rsidRPr="00216282" w:rsidRDefault="00260557" w:rsidP="00260557">
      <w:pPr>
        <w:pStyle w:val="Heading3"/>
      </w:pPr>
      <w:r w:rsidRPr="00216282">
        <w:t>Health, safety and wellbeing considerations when engaging personnel</w:t>
      </w:r>
    </w:p>
    <w:p w14:paraId="77F55E77" w14:textId="77777777" w:rsidR="00260557" w:rsidRPr="00664CC1" w:rsidRDefault="00260557" w:rsidP="002853C2">
      <w:pPr>
        <w:pStyle w:val="DHHSbullet1"/>
        <w:numPr>
          <w:ilvl w:val="0"/>
          <w:numId w:val="33"/>
        </w:numPr>
      </w:pPr>
      <w:r w:rsidRPr="00664CC1">
        <w:t>Establishment of a clear point of control for the operation with clear reporting lines to the point of control and clarity around who is sourcing and engaging the workforce for the operation.</w:t>
      </w:r>
    </w:p>
    <w:p w14:paraId="1B35F54B" w14:textId="77777777" w:rsidR="00260557" w:rsidRPr="00664CC1" w:rsidRDefault="00260557" w:rsidP="002853C2">
      <w:pPr>
        <w:pStyle w:val="DHHSbullet1"/>
        <w:numPr>
          <w:ilvl w:val="0"/>
          <w:numId w:val="33"/>
        </w:numPr>
      </w:pPr>
      <w:r w:rsidRPr="00664CC1">
        <w:t>Position descriptions/job cards that clearly outline what the roles are including tasks, working hours and location. This should include the skills, knowledge, qualifications and training required of personnel to enable them to perform the roles and tasks to be undertaken.</w:t>
      </w:r>
    </w:p>
    <w:p w14:paraId="000FEDAE" w14:textId="77777777" w:rsidR="00260557" w:rsidRPr="00664CC1" w:rsidRDefault="00260557" w:rsidP="002853C2">
      <w:pPr>
        <w:pStyle w:val="DHHSbullet1"/>
        <w:numPr>
          <w:ilvl w:val="0"/>
          <w:numId w:val="33"/>
        </w:numPr>
      </w:pPr>
      <w:r w:rsidRPr="00664CC1">
        <w:t>An assessment of the HSW risks associated with the role, tasks, working hours and location and implementation of risk control measure to address identified risks that affords the highest level of protection that is reasonably practicable. The HSW team or other expert advice may be contacted to support this.</w:t>
      </w:r>
    </w:p>
    <w:p w14:paraId="7E1DDEDC" w14:textId="77777777" w:rsidR="00260557" w:rsidRPr="00664CC1" w:rsidRDefault="00260557" w:rsidP="002853C2">
      <w:pPr>
        <w:pStyle w:val="DHHSbullet1"/>
        <w:numPr>
          <w:ilvl w:val="0"/>
          <w:numId w:val="33"/>
        </w:numPr>
      </w:pPr>
      <w:r w:rsidRPr="00664CC1">
        <w:t>Use or establishment of systems, procedures, instructions and fact sheets to support work to be conducted safely – both physically and psychologically.</w:t>
      </w:r>
    </w:p>
    <w:p w14:paraId="5AFB9608" w14:textId="77777777" w:rsidR="00260557" w:rsidRPr="00664CC1" w:rsidRDefault="00260557" w:rsidP="002853C2">
      <w:pPr>
        <w:pStyle w:val="DHHSbullet1"/>
        <w:numPr>
          <w:ilvl w:val="0"/>
          <w:numId w:val="33"/>
        </w:numPr>
      </w:pPr>
      <w:r w:rsidRPr="00664CC1">
        <w:t>In addition to the provision of general HSW orientation, information on how personnel will be informed/trained/instructed in relation to the systems, procedures, instructions and risk control measures specific to their role, tasks and location.</w:t>
      </w:r>
    </w:p>
    <w:p w14:paraId="00B79EFB" w14:textId="77777777" w:rsidR="00260557" w:rsidRPr="00664CC1" w:rsidRDefault="00260557" w:rsidP="002853C2">
      <w:pPr>
        <w:pStyle w:val="DHHSbullet1"/>
        <w:numPr>
          <w:ilvl w:val="0"/>
          <w:numId w:val="33"/>
        </w:numPr>
      </w:pPr>
      <w:r w:rsidRPr="00664CC1">
        <w:t>Information on how and by whom personnel will be supervised to monitor safe working practices and that working conditions support physical and psychological health and wellbeing.</w:t>
      </w:r>
    </w:p>
    <w:p w14:paraId="1F5AB025" w14:textId="77777777" w:rsidR="00260557" w:rsidRPr="00216282" w:rsidRDefault="00260557" w:rsidP="00260557">
      <w:pPr>
        <w:pStyle w:val="Heading3"/>
      </w:pPr>
      <w:r w:rsidRPr="00216282">
        <w:lastRenderedPageBreak/>
        <w:t>Health, safety and wellbeing considerations when outsourcing operations:</w:t>
      </w:r>
    </w:p>
    <w:p w14:paraId="75242E51" w14:textId="77777777" w:rsidR="00260557" w:rsidRPr="00664CC1" w:rsidRDefault="00260557" w:rsidP="002853C2">
      <w:pPr>
        <w:pStyle w:val="Bullet1"/>
        <w:numPr>
          <w:ilvl w:val="0"/>
          <w:numId w:val="34"/>
        </w:numPr>
      </w:pPr>
      <w:r w:rsidRPr="00664CC1">
        <w:t>Where the department is outsourcing an operation, it must still demonstrate its due diligence on the entity the operation has been outsourced to. Ideally this should be done before the operation commences, and if not practicable to do so, shortly after commencement. This includes:</w:t>
      </w:r>
    </w:p>
    <w:p w14:paraId="0811CB95" w14:textId="77777777" w:rsidR="00260557" w:rsidRPr="00664CC1" w:rsidRDefault="00260557" w:rsidP="002853C2">
      <w:pPr>
        <w:pStyle w:val="Bullet1"/>
        <w:numPr>
          <w:ilvl w:val="0"/>
          <w:numId w:val="35"/>
        </w:numPr>
      </w:pPr>
      <w:r w:rsidRPr="00664CC1">
        <w:t>ensuring that the entity has personnel with appropriate skills and qualifications to conduct the operation</w:t>
      </w:r>
    </w:p>
    <w:p w14:paraId="2DBBCF73" w14:textId="77777777" w:rsidR="00260557" w:rsidRPr="00664CC1" w:rsidRDefault="00260557" w:rsidP="002853C2">
      <w:pPr>
        <w:pStyle w:val="Bullet1"/>
        <w:numPr>
          <w:ilvl w:val="0"/>
          <w:numId w:val="35"/>
        </w:numPr>
      </w:pPr>
      <w:r w:rsidRPr="00664CC1">
        <w:t>being satisfied that the entity has appropriate safety protocols in place (as per points 2-6 above)</w:t>
      </w:r>
    </w:p>
    <w:p w14:paraId="19122AB9" w14:textId="77777777" w:rsidR="00260557" w:rsidRPr="00664CC1" w:rsidRDefault="00260557" w:rsidP="002853C2">
      <w:pPr>
        <w:pStyle w:val="Bullet1"/>
        <w:numPr>
          <w:ilvl w:val="0"/>
          <w:numId w:val="35"/>
        </w:numPr>
      </w:pPr>
      <w:r w:rsidRPr="00664CC1">
        <w:t>requesting at minimum that relevant risk assessments are conducted and documented.</w:t>
      </w:r>
    </w:p>
    <w:p w14:paraId="68FDBAAB" w14:textId="77777777" w:rsidR="00260557" w:rsidRPr="00664CC1" w:rsidRDefault="00260557" w:rsidP="002853C2">
      <w:pPr>
        <w:pStyle w:val="Bullet1"/>
        <w:numPr>
          <w:ilvl w:val="0"/>
          <w:numId w:val="36"/>
        </w:numPr>
      </w:pPr>
      <w:r w:rsidRPr="00664CC1">
        <w:t>In an outsourced model, the department has HSW obligations in relation to matters over which it has control. Whilst the department may not control the day to day operations it will be deemed to have control over:</w:t>
      </w:r>
    </w:p>
    <w:p w14:paraId="68EF2C8D" w14:textId="77777777" w:rsidR="00260557" w:rsidRPr="00664CC1" w:rsidRDefault="00260557" w:rsidP="002853C2">
      <w:pPr>
        <w:pStyle w:val="Bullet1"/>
        <w:numPr>
          <w:ilvl w:val="0"/>
          <w:numId w:val="36"/>
        </w:numPr>
      </w:pPr>
      <w:r w:rsidRPr="00664CC1">
        <w:t>Which entity it selects to run the operation (due diligence that shows the entity could safely run the operation)</w:t>
      </w:r>
    </w:p>
    <w:p w14:paraId="3A8D15C8" w14:textId="77777777" w:rsidR="00260557" w:rsidRPr="00664CC1" w:rsidRDefault="00260557" w:rsidP="002853C2">
      <w:pPr>
        <w:pStyle w:val="Bullet1"/>
        <w:numPr>
          <w:ilvl w:val="0"/>
          <w:numId w:val="36"/>
        </w:numPr>
      </w:pPr>
      <w:r w:rsidRPr="00664CC1">
        <w:t>How the entity is engaged (a contract/agreement setting out the scope of work/roles/responsibilities)</w:t>
      </w:r>
    </w:p>
    <w:p w14:paraId="229EEF9C" w14:textId="5C25901D" w:rsidR="00260557" w:rsidRPr="00664CC1" w:rsidRDefault="00260557" w:rsidP="002853C2">
      <w:pPr>
        <w:pStyle w:val="Bullet1"/>
        <w:numPr>
          <w:ilvl w:val="0"/>
          <w:numId w:val="36"/>
        </w:numPr>
      </w:pPr>
      <w:r w:rsidRPr="00664CC1">
        <w:t>Monitoring that the entity is doing what is required in relation to health and safety matters.</w:t>
      </w:r>
    </w:p>
    <w:p w14:paraId="465B020C" w14:textId="77777777" w:rsidR="00260557" w:rsidRPr="00664CC1" w:rsidRDefault="00260557" w:rsidP="00C259AE">
      <w:pPr>
        <w:pStyle w:val="DHHSbodyafterbullets"/>
      </w:pPr>
      <w:r w:rsidRPr="00664CC1">
        <w:t>The contractor shall provide the department with a health and safety management plan that will, as a minimum, address the following topics in line with the scope of services to be provided:</w:t>
      </w:r>
    </w:p>
    <w:p w14:paraId="2C6A600D" w14:textId="77777777" w:rsidR="00260557" w:rsidRPr="00664CC1" w:rsidRDefault="00260557" w:rsidP="002853C2">
      <w:pPr>
        <w:pStyle w:val="Bullet1"/>
        <w:numPr>
          <w:ilvl w:val="0"/>
          <w:numId w:val="38"/>
        </w:numPr>
      </w:pPr>
      <w:r w:rsidRPr="00664CC1">
        <w:t>The organisation’s hierarchy (such as an organisation chart) showing key roles in senior management and allocation of duties for health and safety</w:t>
      </w:r>
    </w:p>
    <w:p w14:paraId="07F39676" w14:textId="77777777" w:rsidR="00260557" w:rsidRPr="00664CC1" w:rsidRDefault="00260557" w:rsidP="002853C2">
      <w:pPr>
        <w:pStyle w:val="Bullet1"/>
        <w:numPr>
          <w:ilvl w:val="0"/>
          <w:numId w:val="38"/>
        </w:numPr>
      </w:pPr>
      <w:r w:rsidRPr="00664CC1">
        <w:t>Roles and responsibilities at different levels of the organisation for health and safety including details of the suitably qualified personnel who are advising the organisation on health and safety matters</w:t>
      </w:r>
    </w:p>
    <w:p w14:paraId="26DFE823" w14:textId="77777777" w:rsidR="00260557" w:rsidRPr="00664CC1" w:rsidRDefault="00260557" w:rsidP="002853C2">
      <w:pPr>
        <w:pStyle w:val="Bullet1"/>
        <w:numPr>
          <w:ilvl w:val="0"/>
          <w:numId w:val="38"/>
        </w:numPr>
      </w:pPr>
      <w:r w:rsidRPr="00664CC1">
        <w:t>Policies that address health and safety and related matters</w:t>
      </w:r>
    </w:p>
    <w:p w14:paraId="76D95430" w14:textId="77777777" w:rsidR="00260557" w:rsidRPr="00664CC1" w:rsidRDefault="00260557" w:rsidP="002853C2">
      <w:pPr>
        <w:pStyle w:val="Bullet1"/>
        <w:numPr>
          <w:ilvl w:val="0"/>
          <w:numId w:val="38"/>
        </w:numPr>
      </w:pPr>
      <w:r w:rsidRPr="00664CC1">
        <w:t>Consultation and communication processes in place for health and safety matters (including issue resolution processes)</w:t>
      </w:r>
    </w:p>
    <w:p w14:paraId="0A7FAE9A" w14:textId="77777777" w:rsidR="00260557" w:rsidRPr="00664CC1" w:rsidRDefault="00260557" w:rsidP="002853C2">
      <w:pPr>
        <w:pStyle w:val="Bullet1"/>
        <w:numPr>
          <w:ilvl w:val="0"/>
          <w:numId w:val="38"/>
        </w:numPr>
      </w:pPr>
      <w:r w:rsidRPr="00664CC1">
        <w:t>Identification of hazards</w:t>
      </w:r>
    </w:p>
    <w:p w14:paraId="5F59F27B" w14:textId="77777777" w:rsidR="00260557" w:rsidRPr="00664CC1" w:rsidRDefault="00260557" w:rsidP="002853C2">
      <w:pPr>
        <w:pStyle w:val="Bullet1"/>
        <w:numPr>
          <w:ilvl w:val="0"/>
          <w:numId w:val="38"/>
        </w:numPr>
      </w:pPr>
      <w:r w:rsidRPr="00664CC1">
        <w:t>Risk assessment and risk control</w:t>
      </w:r>
    </w:p>
    <w:p w14:paraId="18B83CCA" w14:textId="77777777" w:rsidR="00260557" w:rsidRPr="00664CC1" w:rsidRDefault="00260557" w:rsidP="002853C2">
      <w:pPr>
        <w:pStyle w:val="Bullet1"/>
        <w:numPr>
          <w:ilvl w:val="0"/>
          <w:numId w:val="38"/>
        </w:numPr>
      </w:pPr>
      <w:r w:rsidRPr="00664CC1">
        <w:t>Monitoring of controls (such as an audit and inspection program for frontline activities)</w:t>
      </w:r>
    </w:p>
    <w:p w14:paraId="6F00DEA2" w14:textId="77777777" w:rsidR="00260557" w:rsidRPr="00664CC1" w:rsidRDefault="00260557" w:rsidP="002853C2">
      <w:pPr>
        <w:pStyle w:val="Bullet1"/>
        <w:numPr>
          <w:ilvl w:val="0"/>
          <w:numId w:val="38"/>
        </w:numPr>
      </w:pPr>
      <w:r w:rsidRPr="00664CC1">
        <w:t>Instruction, training and supervision of staff (including risk-based justifications for the levels of instruction, training and supervision provided)</w:t>
      </w:r>
    </w:p>
    <w:p w14:paraId="0F69D11C" w14:textId="77777777" w:rsidR="00260557" w:rsidRPr="00664CC1" w:rsidRDefault="00260557" w:rsidP="002853C2">
      <w:pPr>
        <w:pStyle w:val="Bullet1"/>
        <w:numPr>
          <w:ilvl w:val="0"/>
          <w:numId w:val="38"/>
        </w:numPr>
      </w:pPr>
      <w:r w:rsidRPr="00664CC1">
        <w:t>Mechanisms in place for the selection, engagement and management of subcontractors (subordinate to the contract in place with DFFH)</w:t>
      </w:r>
    </w:p>
    <w:p w14:paraId="6987D425" w14:textId="0D1FD73E" w:rsidR="00260557" w:rsidRPr="00664CC1" w:rsidRDefault="000B7BDC" w:rsidP="002853C2">
      <w:pPr>
        <w:pStyle w:val="Bullet1"/>
        <w:numPr>
          <w:ilvl w:val="0"/>
          <w:numId w:val="38"/>
        </w:numPr>
      </w:pPr>
      <w:hyperlink r:id="rId45" w:history="1">
        <w:r w:rsidR="00260557" w:rsidRPr="00C259AE">
          <w:rPr>
            <w:rStyle w:val="Hyperlink"/>
          </w:rPr>
          <w:t>Incident reporting, management and investigation</w:t>
        </w:r>
      </w:hyperlink>
      <w:r w:rsidR="00260557" w:rsidRPr="00664CC1">
        <w:t xml:space="preserve">. </w:t>
      </w:r>
      <w:r w:rsidR="00C259AE" w:rsidRPr="00C259AE">
        <w:t>&lt;</w:t>
      </w:r>
      <w:hyperlink r:id="rId46" w:history="1">
        <w:r w:rsidR="00C259AE" w:rsidRPr="00C259AE">
          <w:t>https://fac.dhhs.vic.gov.au/incident-reporting</w:t>
        </w:r>
      </w:hyperlink>
      <w:r w:rsidR="00C259AE" w:rsidRPr="00C259AE">
        <w:t>&gt;</w:t>
      </w:r>
      <w:r w:rsidR="00260557" w:rsidRPr="00664CC1">
        <w:t xml:space="preserve"> </w:t>
      </w:r>
    </w:p>
    <w:p w14:paraId="1AE27965" w14:textId="77777777" w:rsidR="00260557" w:rsidRPr="00664CC1" w:rsidRDefault="00260557" w:rsidP="002853C2">
      <w:pPr>
        <w:pStyle w:val="Bullet1"/>
        <w:numPr>
          <w:ilvl w:val="0"/>
          <w:numId w:val="38"/>
        </w:numPr>
      </w:pPr>
      <w:r w:rsidRPr="00664CC1">
        <w:t>Hazardous substances and Dangerous Goods</w:t>
      </w:r>
    </w:p>
    <w:p w14:paraId="7D57C505" w14:textId="77777777" w:rsidR="00260557" w:rsidRPr="00664CC1" w:rsidRDefault="00260557" w:rsidP="002853C2">
      <w:pPr>
        <w:pStyle w:val="Bullet1"/>
        <w:numPr>
          <w:ilvl w:val="0"/>
          <w:numId w:val="38"/>
        </w:numPr>
      </w:pPr>
      <w:r w:rsidRPr="00664CC1">
        <w:t>Reporting and monitoring of health and safety performance</w:t>
      </w:r>
    </w:p>
    <w:p w14:paraId="2B2E4CE6" w14:textId="77777777" w:rsidR="00260557" w:rsidRPr="00664CC1" w:rsidRDefault="00260557" w:rsidP="002853C2">
      <w:pPr>
        <w:pStyle w:val="Bullet1"/>
        <w:numPr>
          <w:ilvl w:val="0"/>
          <w:numId w:val="38"/>
        </w:numPr>
      </w:pPr>
      <w:r w:rsidRPr="00664CC1">
        <w:t>Emergency management</w:t>
      </w:r>
    </w:p>
    <w:p w14:paraId="2A48E59A" w14:textId="77777777" w:rsidR="00260557" w:rsidRPr="00664CC1" w:rsidRDefault="00260557" w:rsidP="002853C2">
      <w:pPr>
        <w:pStyle w:val="Bullet1"/>
        <w:numPr>
          <w:ilvl w:val="0"/>
          <w:numId w:val="38"/>
        </w:numPr>
      </w:pPr>
      <w:r w:rsidRPr="00664CC1">
        <w:t>Record keeping and archiving of information.</w:t>
      </w:r>
    </w:p>
    <w:p w14:paraId="499D1AD0" w14:textId="77777777" w:rsidR="00260557" w:rsidRPr="00664CC1" w:rsidRDefault="00260557" w:rsidP="00C259AE">
      <w:pPr>
        <w:pStyle w:val="DHHSbodyafterbullets"/>
      </w:pPr>
      <w:r w:rsidRPr="00664CC1">
        <w:t>The plan must be submitted on request to the departments HSW Unit. Elements of the plan can then be verified by the HSW unit at frontline locations.</w:t>
      </w:r>
    </w:p>
    <w:p w14:paraId="11D77D34" w14:textId="77777777" w:rsidR="00E40AC4" w:rsidRDefault="00260557">
      <w:pPr>
        <w:spacing w:after="0" w:line="240" w:lineRule="auto"/>
        <w:rPr>
          <w:rFonts w:eastAsia="Times" w:cs="Arial"/>
          <w:sz w:val="20"/>
        </w:rPr>
      </w:pPr>
      <w:r>
        <w:rPr>
          <w:rFonts w:cs="Arial"/>
        </w:rPr>
        <w:br w:type="page"/>
      </w:r>
    </w:p>
    <w:p w14:paraId="324F317C" w14:textId="5279484C" w:rsidR="00260557" w:rsidRPr="005720BC" w:rsidRDefault="00260557" w:rsidP="00C259AE">
      <w:pPr>
        <w:pStyle w:val="Heading4"/>
        <w:rPr>
          <w:rFonts w:cs="Arial"/>
          <w:color w:val="000000"/>
          <w:szCs w:val="24"/>
        </w:rPr>
      </w:pPr>
      <w:r w:rsidRPr="005720BC">
        <w:rPr>
          <w:rFonts w:cs="Arial"/>
          <w:szCs w:val="24"/>
        </w:rPr>
        <w:lastRenderedPageBreak/>
        <w:t xml:space="preserve">Media </w:t>
      </w:r>
      <w:r w:rsidRPr="00C259AE">
        <w:t>engagement</w:t>
      </w:r>
    </w:p>
    <w:p w14:paraId="232A42C8" w14:textId="77777777" w:rsidR="00260557" w:rsidRDefault="00260557" w:rsidP="00C259AE">
      <w:pPr>
        <w:pStyle w:val="DHHSbody"/>
      </w:pPr>
      <w:r>
        <w:t>Media engagement must be authorised through DFFH. Lead Providers should contact their Divisional Directors in advance of undertaking media engagement.</w:t>
      </w:r>
      <w:r>
        <w:br w:type="page"/>
      </w:r>
    </w:p>
    <w:p w14:paraId="2750B93E" w14:textId="77777777" w:rsidR="00260557" w:rsidRDefault="00260557" w:rsidP="00260557">
      <w:pPr>
        <w:pStyle w:val="Heading2"/>
      </w:pPr>
      <w:bookmarkStart w:id="91" w:name="_Toc93219804"/>
      <w:bookmarkStart w:id="92" w:name="_Toc93905417"/>
      <w:r>
        <w:lastRenderedPageBreak/>
        <w:t>Appendix 4: I</w:t>
      </w:r>
      <w:r w:rsidRPr="008153F7">
        <w:t>ncident reporting systems</w:t>
      </w:r>
      <w:bookmarkEnd w:id="91"/>
      <w:bookmarkEnd w:id="92"/>
    </w:p>
    <w:p w14:paraId="5EDF370B" w14:textId="77777777" w:rsidR="00260557" w:rsidRDefault="00260557" w:rsidP="004237DE">
      <w:pPr>
        <w:pStyle w:val="Heading3"/>
        <w:spacing w:before="240"/>
      </w:pPr>
      <w:r>
        <w:t>Victorian Health Incident Management System (VHIMS)</w:t>
      </w:r>
    </w:p>
    <w:p w14:paraId="344F91B0" w14:textId="43CF2C66" w:rsidR="00260557" w:rsidRPr="00664CC1" w:rsidRDefault="000B7BDC" w:rsidP="00ED2953">
      <w:pPr>
        <w:pStyle w:val="DHHSbody"/>
        <w:rPr>
          <w:lang w:val="en" w:eastAsia="en-AU"/>
        </w:rPr>
      </w:pPr>
      <w:hyperlink r:id="rId47" w:history="1">
        <w:r w:rsidR="00260557" w:rsidRPr="00664CC1">
          <w:rPr>
            <w:rStyle w:val="Hyperlink"/>
            <w:rFonts w:cs="Arial"/>
            <w:sz w:val="21"/>
            <w:szCs w:val="21"/>
            <w:lang w:val="en" w:eastAsia="en-AU"/>
          </w:rPr>
          <w:t>The Victorian Health Incident Management System (VHIMS)</w:t>
        </w:r>
      </w:hyperlink>
      <w:r w:rsidR="00260557" w:rsidRPr="00664CC1">
        <w:rPr>
          <w:lang w:val="en" w:eastAsia="en-AU"/>
        </w:rPr>
        <w:t xml:space="preserve"> </w:t>
      </w:r>
      <w:hyperlink r:id="rId48" w:history="1">
        <w:r w:rsidR="00084F37" w:rsidRPr="00E32C93">
          <w:rPr>
            <w:rStyle w:val="Hyperlink"/>
            <w:lang w:val="en" w:eastAsia="en-AU"/>
          </w:rPr>
          <w:t>https://www.bettersafercare.vic.gov.au/our-work/incident-response/VHIMS</w:t>
        </w:r>
      </w:hyperlink>
      <w:r w:rsidR="00084F37">
        <w:rPr>
          <w:lang w:val="en" w:eastAsia="en-AU"/>
        </w:rPr>
        <w:t xml:space="preserve"> </w:t>
      </w:r>
      <w:r w:rsidR="00260557" w:rsidRPr="00664CC1">
        <w:rPr>
          <w:lang w:val="en" w:eastAsia="en-AU"/>
        </w:rPr>
        <w:t>is a standardised dataset for the collection and classification of clinical, OH&amp;S incidents, near misses, hazards and consumer feedback.</w:t>
      </w:r>
    </w:p>
    <w:p w14:paraId="6B94EDF8" w14:textId="77777777" w:rsidR="00260557" w:rsidRPr="00664CC1" w:rsidRDefault="00260557" w:rsidP="00ED2953">
      <w:pPr>
        <w:pStyle w:val="DHHSbody"/>
        <w:rPr>
          <w:lang w:val="en" w:eastAsia="en-AU"/>
        </w:rPr>
      </w:pPr>
      <w:r w:rsidRPr="00664CC1">
        <w:rPr>
          <w:lang w:val="en" w:eastAsia="en-AU"/>
        </w:rPr>
        <w:t>VHIMS was established in 2009 by the Department of Health and Human Services (the Department). The Victorian Agency for Health Information (VAHI) took over responsibility for VHIMS in 2017. VAHI now coordinates VHIMS in collaboration with the Department, Safer Care Victoria (SCV) and importantly, Victorian public health services.</w:t>
      </w:r>
    </w:p>
    <w:p w14:paraId="4B7A258D" w14:textId="4182A971" w:rsidR="00260557" w:rsidRPr="00664CC1" w:rsidRDefault="00260557" w:rsidP="00ED2953">
      <w:pPr>
        <w:pStyle w:val="DHHSbody"/>
        <w:rPr>
          <w:rStyle w:val="Hyperlink"/>
          <w:color w:val="auto"/>
          <w:sz w:val="21"/>
          <w:szCs w:val="21"/>
          <w:u w:val="none"/>
        </w:rPr>
      </w:pPr>
      <w:r w:rsidRPr="00664CC1">
        <w:rPr>
          <w:lang w:val="en" w:eastAsia="en-AU"/>
        </w:rPr>
        <w:t xml:space="preserve">Incident and feedback information collected in VHIMS helps to drive local and statewide improvements in quality, safety and patient experience. Providers should be aware of the VHIMS policies and guidelines on </w:t>
      </w:r>
      <w:hyperlink r:id="rId49" w:history="1">
        <w:r w:rsidRPr="00664CC1">
          <w:rPr>
            <w:rStyle w:val="Hyperlink"/>
            <w:rFonts w:cs="Arial"/>
            <w:sz w:val="21"/>
            <w:szCs w:val="21"/>
            <w:lang w:val="en" w:eastAsia="en-AU"/>
          </w:rPr>
          <w:t>adverse patient safety events</w:t>
        </w:r>
      </w:hyperlink>
      <w:r w:rsidR="00084F37">
        <w:rPr>
          <w:lang w:val="en" w:eastAsia="en-AU"/>
        </w:rPr>
        <w:t xml:space="preserve"> </w:t>
      </w:r>
      <w:r w:rsidR="00084F37" w:rsidRPr="00084F37">
        <w:t>&lt;</w:t>
      </w:r>
      <w:hyperlink r:id="rId50" w:history="1">
        <w:r w:rsidR="00084F37" w:rsidRPr="00084F37">
          <w:rPr>
            <w:lang w:val="en" w:eastAsia="en-AU"/>
          </w:rPr>
          <w:t>https://www.bettersafercare.vic.gov.au/sites/default/files/2019-08/Policy - Adverse Patient Safety Events.pdf</w:t>
        </w:r>
      </w:hyperlink>
      <w:r w:rsidR="00084F37" w:rsidRPr="00084F37">
        <w:t>&gt;,</w:t>
      </w:r>
      <w:r w:rsidRPr="00084F37">
        <w:t xml:space="preserve"> </w:t>
      </w:r>
      <w:r w:rsidRPr="00664CC1">
        <w:rPr>
          <w:lang w:val="en" w:eastAsia="en-AU"/>
        </w:rPr>
        <w:t xml:space="preserve">including the </w:t>
      </w:r>
      <w:hyperlink r:id="rId51" w:history="1">
        <w:r w:rsidRPr="00664CC1">
          <w:rPr>
            <w:rStyle w:val="Hyperlink"/>
            <w:sz w:val="21"/>
            <w:szCs w:val="21"/>
          </w:rPr>
          <w:t>Victorian Health Incident Management System (VHIMS) Minimal Dataset PDF</w:t>
        </w:r>
      </w:hyperlink>
      <w:r w:rsidR="0001614A">
        <w:rPr>
          <w:rStyle w:val="Hyperlink"/>
          <w:sz w:val="21"/>
          <w:szCs w:val="21"/>
        </w:rPr>
        <w:t xml:space="preserve"> </w:t>
      </w:r>
      <w:r w:rsidR="0001614A" w:rsidRPr="0001614A">
        <w:t>&lt;</w:t>
      </w:r>
      <w:hyperlink r:id="rId52" w:history="1">
        <w:r w:rsidR="0001614A" w:rsidRPr="0001614A">
          <w:t>https://www.bettersafercare.vic.gov.au/sites/default/files/2019-06/190530-1 VHIMS_Minimum dataset_June_2019.pdf</w:t>
        </w:r>
      </w:hyperlink>
      <w:r w:rsidR="0001614A" w:rsidRPr="0001614A">
        <w:t>&gt;.</w:t>
      </w:r>
    </w:p>
    <w:p w14:paraId="27FF5FC6" w14:textId="212B9F16" w:rsidR="00260557" w:rsidRPr="00664CC1" w:rsidRDefault="00260557" w:rsidP="00ED2953">
      <w:pPr>
        <w:pStyle w:val="DHHSbody"/>
        <w:rPr>
          <w:rStyle w:val="Hyperlink"/>
          <w:color w:val="auto"/>
          <w:sz w:val="21"/>
          <w:szCs w:val="21"/>
          <w:u w:val="none"/>
        </w:rPr>
      </w:pPr>
      <w:r w:rsidRPr="00664CC1">
        <w:rPr>
          <w:rStyle w:val="Hyperlink"/>
          <w:color w:val="auto"/>
          <w:sz w:val="21"/>
          <w:szCs w:val="21"/>
          <w:u w:val="none"/>
        </w:rPr>
        <w:t xml:space="preserve">Staff training on VHIMS can be found </w:t>
      </w:r>
      <w:hyperlink r:id="rId53" w:history="1">
        <w:r w:rsidRPr="0001614A">
          <w:rPr>
            <w:rStyle w:val="Hyperlink"/>
            <w:sz w:val="21"/>
            <w:szCs w:val="21"/>
          </w:rPr>
          <w:t>here</w:t>
        </w:r>
      </w:hyperlink>
      <w:r w:rsidR="0001614A">
        <w:rPr>
          <w:rStyle w:val="Hyperlink"/>
          <w:sz w:val="21"/>
          <w:szCs w:val="21"/>
        </w:rPr>
        <w:t xml:space="preserve"> </w:t>
      </w:r>
      <w:r w:rsidR="0001614A" w:rsidRPr="0001614A">
        <w:t>&lt;</w:t>
      </w:r>
      <w:hyperlink r:id="rId54" w:history="1">
        <w:r w:rsidR="0001614A" w:rsidRPr="0001614A">
          <w:t>https://www.bettersafercare.vic.gov.au/vhims-central</w:t>
        </w:r>
      </w:hyperlink>
      <w:r w:rsidR="0001614A" w:rsidRPr="0001614A">
        <w:t>&gt;.</w:t>
      </w:r>
    </w:p>
    <w:p w14:paraId="0B0A08B3" w14:textId="25D827B4" w:rsidR="00260557" w:rsidRPr="00664CC1" w:rsidRDefault="00260557" w:rsidP="00ED2953">
      <w:pPr>
        <w:pStyle w:val="DHHSbody"/>
        <w:rPr>
          <w:rStyle w:val="Hyperlink"/>
          <w:color w:val="auto"/>
          <w:sz w:val="21"/>
          <w:szCs w:val="21"/>
          <w:u w:val="none"/>
        </w:rPr>
      </w:pPr>
      <w:r w:rsidRPr="00664CC1">
        <w:rPr>
          <w:rStyle w:val="Hyperlink"/>
          <w:color w:val="auto"/>
          <w:sz w:val="21"/>
          <w:szCs w:val="21"/>
          <w:u w:val="none"/>
        </w:rPr>
        <w:t xml:space="preserve">Information Systems and Customer Experience support, including software integration with existing software solutions can be found </w:t>
      </w:r>
      <w:hyperlink r:id="rId55" w:history="1">
        <w:r w:rsidRPr="0001614A">
          <w:rPr>
            <w:rStyle w:val="Hyperlink"/>
            <w:sz w:val="21"/>
            <w:szCs w:val="21"/>
          </w:rPr>
          <w:t>here</w:t>
        </w:r>
      </w:hyperlink>
      <w:r w:rsidR="0001614A">
        <w:rPr>
          <w:rStyle w:val="Hyperlink"/>
          <w:sz w:val="21"/>
          <w:szCs w:val="21"/>
        </w:rPr>
        <w:t xml:space="preserve"> </w:t>
      </w:r>
      <w:r w:rsidR="0001614A" w:rsidRPr="0001614A">
        <w:t>&lt;</w:t>
      </w:r>
      <w:hyperlink r:id="rId56" w:history="1">
        <w:r w:rsidR="0001614A" w:rsidRPr="0001614A">
          <w:t>https://www.bettersafercare.vic.gov.au/our-work/incident-response/VHIMS/localsolution</w:t>
        </w:r>
      </w:hyperlink>
      <w:r w:rsidR="0001614A" w:rsidRPr="0001614A">
        <w:t>&gt;.</w:t>
      </w:r>
    </w:p>
    <w:p w14:paraId="1AFC5F5F" w14:textId="320910B1" w:rsidR="00260557" w:rsidRPr="00664CC1" w:rsidRDefault="00260557" w:rsidP="00ED2953">
      <w:pPr>
        <w:pStyle w:val="DHHSbody"/>
        <w:rPr>
          <w:color w:val="4A4A4A"/>
          <w:lang w:val="en"/>
        </w:rPr>
      </w:pPr>
      <w:r w:rsidRPr="00664CC1">
        <w:t>Victorian Health Incident Management System (VHIMS) is designed for public health services such as</w:t>
      </w:r>
      <w:r w:rsidRPr="00664CC1">
        <w:rPr>
          <w:b/>
          <w:bCs/>
        </w:rPr>
        <w:t xml:space="preserve"> </w:t>
      </w:r>
      <w:r w:rsidRPr="00664CC1">
        <w:t>(ambulance Victoria, bush nursing services, Forensicare, public sector residential aged care facilities, hospital in home services, private day surgery facilities.)</w:t>
      </w:r>
      <w:r w:rsidRPr="00664CC1">
        <w:rPr>
          <w:lang w:val="en"/>
        </w:rPr>
        <w:t xml:space="preserve"> For more information on VHIMS, please </w:t>
      </w:r>
      <w:hyperlink r:id="rId57" w:history="1">
        <w:r w:rsidR="004237DE" w:rsidRPr="00E32C93">
          <w:rPr>
            <w:rStyle w:val="Hyperlink"/>
            <w:lang w:val="en"/>
          </w:rPr>
          <w:t>email the VHIMS</w:t>
        </w:r>
      </w:hyperlink>
      <w:r w:rsidR="004237DE">
        <w:rPr>
          <w:lang w:val="en"/>
        </w:rPr>
        <w:t xml:space="preserve"> team</w:t>
      </w:r>
      <w:r w:rsidRPr="00664CC1">
        <w:rPr>
          <w:lang w:val="en"/>
        </w:rPr>
        <w:t xml:space="preserve"> </w:t>
      </w:r>
      <w:r w:rsidR="004237DE" w:rsidRPr="004237DE">
        <w:t>&lt;</w:t>
      </w:r>
      <w:hyperlink r:id="rId58" w:history="1">
        <w:r w:rsidR="004237DE" w:rsidRPr="004237DE">
          <w:rPr>
            <w:lang w:val="en"/>
          </w:rPr>
          <w:t>vhims2@vahi.vic.gov.au</w:t>
        </w:r>
      </w:hyperlink>
      <w:r w:rsidR="004237DE" w:rsidRPr="004237DE">
        <w:t>&gt;</w:t>
      </w:r>
      <w:r w:rsidRPr="004237DE">
        <w:t>.</w:t>
      </w:r>
    </w:p>
    <w:p w14:paraId="5EE376A8" w14:textId="77777777" w:rsidR="00260557" w:rsidRDefault="00260557" w:rsidP="004237DE">
      <w:pPr>
        <w:pStyle w:val="Heading3"/>
        <w:spacing w:before="240"/>
      </w:pPr>
      <w:r w:rsidRPr="78620351">
        <w:rPr>
          <w:lang w:val="en"/>
        </w:rPr>
        <w:t>Client incident management system (CIMS)</w:t>
      </w:r>
    </w:p>
    <w:p w14:paraId="574BFF3E" w14:textId="77777777" w:rsidR="00260557" w:rsidRPr="006E65E4" w:rsidRDefault="00260557" w:rsidP="006E65E4">
      <w:pPr>
        <w:pStyle w:val="DHHSbody"/>
      </w:pPr>
      <w:r w:rsidRPr="006E65E4">
        <w:t>The CIMS will be the reporting pathway for the catchment lead to input client incidents and site concerns which impact clients and their accommodation. The CIMS Information system focuses on the safety and wellbeing of clients by outlining the approach and key actions to manage client incidents.</w:t>
      </w:r>
    </w:p>
    <w:p w14:paraId="198BE32A" w14:textId="77777777" w:rsidR="00260557" w:rsidRPr="006E65E4" w:rsidRDefault="00260557" w:rsidP="006E65E4">
      <w:pPr>
        <w:pStyle w:val="DHHSbody"/>
      </w:pPr>
      <w:r w:rsidRPr="006E65E4">
        <w:rPr>
          <w:rStyle w:val="Strong"/>
        </w:rPr>
        <w:t>For NDIS providers:</w:t>
      </w:r>
      <w:r w:rsidRPr="006E65E4">
        <w:t xml:space="preserve"> Victoria's quality and safeguards arrangements will remain during transition to full scheme roll-out in 2019. This means that NDIS providers are required to comply with the CIMS.</w:t>
      </w:r>
    </w:p>
    <w:p w14:paraId="26967C7B" w14:textId="77777777" w:rsidR="00260557" w:rsidRPr="004237DE" w:rsidRDefault="00260557" w:rsidP="006E65E4">
      <w:pPr>
        <w:pStyle w:val="DHHSbody"/>
        <w:rPr>
          <w:rStyle w:val="Strong"/>
        </w:rPr>
      </w:pPr>
      <w:r w:rsidRPr="004237DE">
        <w:rPr>
          <w:rStyle w:val="Strong"/>
        </w:rPr>
        <w:t>Find out more about the CIMS</w:t>
      </w:r>
    </w:p>
    <w:p w14:paraId="76323354" w14:textId="4A77C2E8" w:rsidR="00260557" w:rsidRPr="006E65E4" w:rsidRDefault="00260557" w:rsidP="00ED2953">
      <w:pPr>
        <w:pStyle w:val="DHHSbody"/>
        <w:rPr>
          <w:lang w:val="en"/>
        </w:rPr>
      </w:pPr>
      <w:r w:rsidRPr="006E65E4">
        <w:rPr>
          <w:lang w:val="en"/>
        </w:rPr>
        <w:t xml:space="preserve">The </w:t>
      </w:r>
      <w:hyperlink r:id="rId59">
        <w:r w:rsidRPr="006E65E4">
          <w:rPr>
            <w:color w:val="004EA8"/>
            <w:u w:val="single"/>
            <w:lang w:val="en"/>
          </w:rPr>
          <w:t>CIMS webpage</w:t>
        </w:r>
      </w:hyperlink>
      <w:r w:rsidRPr="006E65E4">
        <w:rPr>
          <w:lang w:val="en"/>
        </w:rPr>
        <w:t xml:space="preserve"> </w:t>
      </w:r>
      <w:r w:rsidR="006F13DB" w:rsidRPr="006E65E4">
        <w:t>&lt;</w:t>
      </w:r>
      <w:hyperlink r:id="rId60" w:history="1">
        <w:r w:rsidR="006F13DB" w:rsidRPr="006E65E4">
          <w:rPr>
            <w:lang w:val="en"/>
          </w:rPr>
          <w:t>http://providers.dhhs.vic.gov.au/cims</w:t>
        </w:r>
      </w:hyperlink>
      <w:r w:rsidR="006F13DB" w:rsidRPr="006E65E4">
        <w:t>&gt;</w:t>
      </w:r>
      <w:r w:rsidR="006F13DB" w:rsidRPr="006E65E4">
        <w:rPr>
          <w:lang w:val="en"/>
        </w:rPr>
        <w:t xml:space="preserve"> </w:t>
      </w:r>
      <w:r w:rsidRPr="006E65E4">
        <w:rPr>
          <w:lang w:val="en"/>
        </w:rPr>
        <w:t>has more information about the CIMS, including the policy, link to the incident report webform and client incident register, fact sheets, implementation guidance, learning and development materials and IT requirements.</w:t>
      </w:r>
    </w:p>
    <w:p w14:paraId="7EE803A4" w14:textId="23F47054" w:rsidR="00260557" w:rsidRPr="006E65E4" w:rsidRDefault="00260557" w:rsidP="004237DE">
      <w:pPr>
        <w:pStyle w:val="DHHSbody"/>
        <w:rPr>
          <w:lang w:val="en"/>
        </w:rPr>
      </w:pPr>
      <w:r w:rsidRPr="006E65E4">
        <w:rPr>
          <w:lang w:val="en"/>
        </w:rPr>
        <w:t xml:space="preserve">For assistance with the CIMS, refer to resources within the CIMS webpage or </w:t>
      </w:r>
      <w:hyperlink r:id="rId61" w:history="1">
        <w:r w:rsidRPr="004237DE">
          <w:rPr>
            <w:rStyle w:val="Hyperlink"/>
            <w:lang w:val="en"/>
          </w:rPr>
          <w:t>email</w:t>
        </w:r>
        <w:r w:rsidR="004237DE" w:rsidRPr="004237DE">
          <w:rPr>
            <w:rStyle w:val="Hyperlink"/>
            <w:lang w:val="en"/>
          </w:rPr>
          <w:t xml:space="preserve"> CIMS</w:t>
        </w:r>
      </w:hyperlink>
      <w:r w:rsidRPr="006E65E4">
        <w:rPr>
          <w:lang w:val="en"/>
        </w:rPr>
        <w:t xml:space="preserve"> </w:t>
      </w:r>
      <w:r w:rsidR="004237DE" w:rsidRPr="004237DE">
        <w:t>&lt;</w:t>
      </w:r>
      <w:hyperlink r:id="rId62" w:history="1">
        <w:r w:rsidR="004237DE" w:rsidRPr="004237DE">
          <w:t>CIMS@dhhs.vic.gov.au</w:t>
        </w:r>
      </w:hyperlink>
      <w:r w:rsidR="004237DE" w:rsidRPr="004237DE">
        <w:t>&gt;</w:t>
      </w:r>
      <w:r w:rsidRPr="004237DE">
        <w:t xml:space="preserve">. </w:t>
      </w:r>
      <w:r w:rsidRPr="006E65E4">
        <w:rPr>
          <w:lang w:val="en"/>
        </w:rPr>
        <w:t>Stakeholders using their own IT reporting system and submitting incidents via the application program interface should continue to speak with their IT vendor.</w:t>
      </w:r>
    </w:p>
    <w:p w14:paraId="25E09A99" w14:textId="3EB62225" w:rsidR="00260557" w:rsidRPr="006E65E4" w:rsidRDefault="00260557" w:rsidP="00ED2953">
      <w:pPr>
        <w:pStyle w:val="DHHSbody"/>
      </w:pPr>
      <w:r w:rsidRPr="006E65E4">
        <w:t xml:space="preserve">CIMS is a </w:t>
      </w:r>
      <w:hyperlink r:id="rId63" w:anchor="/introduction">
        <w:r w:rsidRPr="006E65E4">
          <w:rPr>
            <w:rStyle w:val="Hyperlink"/>
            <w:rFonts w:cs="Arial"/>
          </w:rPr>
          <w:t>client management system</w:t>
        </w:r>
      </w:hyperlink>
      <w:r w:rsidRPr="006E65E4">
        <w:t xml:space="preserve"> </w:t>
      </w:r>
      <w:r w:rsidR="006F13DB" w:rsidRPr="006E65E4">
        <w:t>&lt;</w:t>
      </w:r>
      <w:hyperlink r:id="rId64" w:anchor="/introduction" w:history="1">
        <w:r w:rsidR="005C6071" w:rsidRPr="006E65E4">
          <w:t>https://cims.vic.gov.au/#/introduction</w:t>
        </w:r>
      </w:hyperlink>
      <w:r w:rsidR="006F13DB" w:rsidRPr="006E65E4">
        <w:t xml:space="preserve">&gt; </w:t>
      </w:r>
      <w:r w:rsidRPr="006E65E4">
        <w:t>will assist the Lead Provider to apply:</w:t>
      </w:r>
    </w:p>
    <w:p w14:paraId="3497A857" w14:textId="79FB2FCA" w:rsidR="00260557" w:rsidRPr="006E65E4" w:rsidRDefault="00260557" w:rsidP="002853C2">
      <w:pPr>
        <w:pStyle w:val="DHHSbody"/>
        <w:numPr>
          <w:ilvl w:val="0"/>
          <w:numId w:val="17"/>
        </w:numPr>
      </w:pPr>
      <w:r w:rsidRPr="006E65E4">
        <w:t xml:space="preserve">The </w:t>
      </w:r>
      <w:hyperlink r:id="rId65">
        <w:r w:rsidRPr="006E65E4">
          <w:rPr>
            <w:rStyle w:val="Hyperlink"/>
            <w:rFonts w:cs="Arial"/>
          </w:rPr>
          <w:t>management</w:t>
        </w:r>
      </w:hyperlink>
      <w:r w:rsidRPr="006E65E4">
        <w:t xml:space="preserve"> </w:t>
      </w:r>
      <w:r w:rsidR="00476248" w:rsidRPr="006E65E4">
        <w:t>&lt;</w:t>
      </w:r>
      <w:hyperlink r:id="rId66" w:history="1">
        <w:r w:rsidR="00476248" w:rsidRPr="006E65E4">
          <w:t>https://providers.dhhs.vic.gov.au/sites/default/files/2020-01/Client incident management guide_0.docx</w:t>
        </w:r>
      </w:hyperlink>
      <w:r w:rsidR="00476248" w:rsidRPr="006E65E4">
        <w:t xml:space="preserve">&gt; </w:t>
      </w:r>
      <w:r w:rsidRPr="006E65E4">
        <w:t>of client incidents and tracking the management through to continuous improvement</w:t>
      </w:r>
    </w:p>
    <w:p w14:paraId="3921D365" w14:textId="6D224048" w:rsidR="00260557" w:rsidRPr="006E65E4" w:rsidRDefault="00260557" w:rsidP="002853C2">
      <w:pPr>
        <w:pStyle w:val="DHHSbody"/>
        <w:numPr>
          <w:ilvl w:val="0"/>
          <w:numId w:val="17"/>
        </w:numPr>
      </w:pPr>
      <w:r w:rsidRPr="006E65E4">
        <w:t xml:space="preserve">The management of client incidents while receiving </w:t>
      </w:r>
      <w:hyperlink r:id="rId67">
        <w:r w:rsidRPr="006E65E4">
          <w:rPr>
            <w:rStyle w:val="Hyperlink"/>
            <w:rFonts w:cs="Arial"/>
          </w:rPr>
          <w:t>out of home care</w:t>
        </w:r>
      </w:hyperlink>
      <w:r w:rsidRPr="006E65E4">
        <w:t xml:space="preserve"> </w:t>
      </w:r>
      <w:r w:rsidR="00476248" w:rsidRPr="006E65E4">
        <w:t>&lt;</w:t>
      </w:r>
      <w:hyperlink r:id="rId68" w:history="1">
        <w:r w:rsidR="00476248" w:rsidRPr="006E65E4">
          <w:t>https://providers.dhhs.vic.gov.au/sites/default/files/2020-02/Client incident management guide addendum out-of-home care_0.docx</w:t>
        </w:r>
      </w:hyperlink>
      <w:r w:rsidR="00476248" w:rsidRPr="006E65E4">
        <w:t xml:space="preserve">&gt; </w:t>
      </w:r>
    </w:p>
    <w:p w14:paraId="04E47A5F" w14:textId="270EE016" w:rsidR="00260557" w:rsidRPr="006E65E4" w:rsidRDefault="00260557" w:rsidP="002853C2">
      <w:pPr>
        <w:pStyle w:val="DHHSbody"/>
        <w:numPr>
          <w:ilvl w:val="0"/>
          <w:numId w:val="17"/>
        </w:numPr>
        <w:rPr>
          <w:rStyle w:val="Hyperlink"/>
          <w:rFonts w:cs="Arial"/>
          <w:color w:val="auto"/>
        </w:rPr>
      </w:pPr>
      <w:r w:rsidRPr="006E65E4">
        <w:rPr>
          <w:rStyle w:val="Hyperlink"/>
          <w:rFonts w:cs="Arial"/>
          <w:color w:val="auto"/>
        </w:rPr>
        <w:t>Conducting</w:t>
      </w:r>
      <w:hyperlink r:id="rId69">
        <w:r w:rsidRPr="006E65E4">
          <w:rPr>
            <w:rStyle w:val="Hyperlink"/>
            <w:rFonts w:cs="Arial"/>
          </w:rPr>
          <w:t xml:space="preserve"> Root Cause Analysis reviews</w:t>
        </w:r>
      </w:hyperlink>
      <w:r w:rsidR="00476248" w:rsidRPr="006E65E4">
        <w:rPr>
          <w:rStyle w:val="Hyperlink"/>
          <w:rFonts w:cs="Arial"/>
        </w:rPr>
        <w:t xml:space="preserve"> </w:t>
      </w:r>
      <w:r w:rsidR="006E65E4" w:rsidRPr="006E65E4">
        <w:t>&lt;</w:t>
      </w:r>
      <w:r w:rsidR="00476248" w:rsidRPr="006E65E4">
        <w:t>https://intranet.dhhs.vic.gov.au/working-at-dhhs/about-you/training/cims-root-cause-analysis-rca-review</w:t>
      </w:r>
      <w:r w:rsidR="00C36E9E" w:rsidRPr="006E65E4">
        <w:t>&gt;</w:t>
      </w:r>
    </w:p>
    <w:p w14:paraId="6E19F68B" w14:textId="77777777" w:rsidR="000174AD" w:rsidRDefault="000174AD" w:rsidP="00ED2953">
      <w:pPr>
        <w:pStyle w:val="DHHSbody"/>
        <w:rPr>
          <w:rStyle w:val="Hyperlink"/>
          <w:rFonts w:cs="Arial"/>
          <w:color w:val="auto"/>
          <w:sz w:val="21"/>
          <w:szCs w:val="21"/>
          <w:highlight w:val="yellow"/>
        </w:rPr>
        <w:sectPr w:rsidR="000174AD" w:rsidSect="008061FD">
          <w:pgSz w:w="11906" w:h="16838" w:code="9"/>
          <w:pgMar w:top="567" w:right="720" w:bottom="720" w:left="720" w:header="680" w:footer="851" w:gutter="0"/>
          <w:cols w:space="340"/>
          <w:docGrid w:linePitch="360"/>
        </w:sectPr>
      </w:pPr>
    </w:p>
    <w:p w14:paraId="3FE1836D" w14:textId="048F9A6A" w:rsidR="000174AD" w:rsidRDefault="000174AD" w:rsidP="000174AD">
      <w:pPr>
        <w:pStyle w:val="Heading2"/>
      </w:pPr>
      <w:bookmarkStart w:id="93" w:name="_Toc93219805"/>
      <w:bookmarkStart w:id="94" w:name="_Toc93905418"/>
      <w:r>
        <w:lastRenderedPageBreak/>
        <w:t>Appendix 5: Data Reporting Templates</w:t>
      </w:r>
      <w:bookmarkEnd w:id="93"/>
      <w:bookmarkEnd w:id="94"/>
    </w:p>
    <w:p w14:paraId="2E21F538" w14:textId="272CE118" w:rsidR="000174AD" w:rsidRPr="00EB78F0" w:rsidRDefault="000174AD" w:rsidP="00EB78F0">
      <w:pPr>
        <w:pStyle w:val="Heading3"/>
      </w:pPr>
      <w:r w:rsidRPr="00EB78F0">
        <w:t>Prevention and Preparedness Reporting Template</w:t>
      </w:r>
    </w:p>
    <w:tbl>
      <w:tblPr>
        <w:tblW w:w="141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Caption w:val="Prevention and Preparedness Reporting Template"/>
        <w:tblDescription w:val="The tiered approach; Definitions"/>
      </w:tblPr>
      <w:tblGrid>
        <w:gridCol w:w="7780"/>
        <w:gridCol w:w="6400"/>
      </w:tblGrid>
      <w:tr w:rsidR="006E65E4" w:rsidRPr="00950D5A" w14:paraId="75EB98D8" w14:textId="77777777" w:rsidTr="00717ED8">
        <w:trPr>
          <w:trHeight w:val="300"/>
        </w:trPr>
        <w:tc>
          <w:tcPr>
            <w:tcW w:w="7780" w:type="dxa"/>
            <w:shd w:val="clear" w:color="auto" w:fill="auto"/>
            <w:noWrap/>
            <w:vAlign w:val="center"/>
            <w:hideMark/>
          </w:tcPr>
          <w:p w14:paraId="67C942A1" w14:textId="77777777" w:rsidR="006E65E4" w:rsidRPr="00384990" w:rsidRDefault="006E65E4" w:rsidP="005325AE">
            <w:pPr>
              <w:pStyle w:val="DHHStablecolhead"/>
            </w:pPr>
            <w:r w:rsidRPr="00384990">
              <w:t>The Tiered Approach</w:t>
            </w:r>
          </w:p>
        </w:tc>
        <w:tc>
          <w:tcPr>
            <w:tcW w:w="6400" w:type="dxa"/>
            <w:shd w:val="clear" w:color="auto" w:fill="auto"/>
            <w:hideMark/>
          </w:tcPr>
          <w:p w14:paraId="4634E2BF" w14:textId="77777777" w:rsidR="006E65E4" w:rsidRPr="00384990" w:rsidRDefault="006E65E4" w:rsidP="005325AE">
            <w:pPr>
              <w:pStyle w:val="DHHStablecolhead"/>
            </w:pPr>
            <w:r w:rsidRPr="00384990">
              <w:t>Definitions</w:t>
            </w:r>
          </w:p>
        </w:tc>
      </w:tr>
      <w:tr w:rsidR="006E65E4" w:rsidRPr="00950D5A" w14:paraId="0189599E" w14:textId="77777777" w:rsidTr="00717ED8">
        <w:trPr>
          <w:trHeight w:val="1462"/>
        </w:trPr>
        <w:tc>
          <w:tcPr>
            <w:tcW w:w="7780" w:type="dxa"/>
            <w:shd w:val="clear" w:color="auto" w:fill="auto"/>
            <w:hideMark/>
          </w:tcPr>
          <w:p w14:paraId="6A53800A" w14:textId="7D36820B" w:rsidR="006E65E4" w:rsidRPr="00950D5A" w:rsidRDefault="006E65E4" w:rsidP="006E65E4">
            <w:pPr>
              <w:pStyle w:val="DHHStabletext"/>
              <w:rPr>
                <w:lang w:eastAsia="en-AU"/>
              </w:rPr>
            </w:pPr>
            <w:r w:rsidRPr="00950D5A">
              <w:rPr>
                <w:lang w:eastAsia="en-AU"/>
              </w:rPr>
              <w:t xml:space="preserve">The HRAR Extension Operating Model identified four tiers which can be used by Lead Providers to assist in planning the intensity, composition, delivery method and extent of service provision. Tiers do not necessarily reflect ascending or descending risk, but rather reflect variations in risk profile due to differences in </w:t>
            </w:r>
            <w:r>
              <w:rPr>
                <w:lang w:eastAsia="en-AU"/>
              </w:rPr>
              <w:br/>
            </w:r>
            <w:r w:rsidRPr="00950D5A">
              <w:rPr>
                <w:lang w:eastAsia="en-AU"/>
              </w:rPr>
              <w:t>setting characteristics.</w:t>
            </w:r>
          </w:p>
        </w:tc>
        <w:tc>
          <w:tcPr>
            <w:tcW w:w="6400" w:type="dxa"/>
            <w:shd w:val="clear" w:color="auto" w:fill="auto"/>
            <w:hideMark/>
          </w:tcPr>
          <w:p w14:paraId="36F8CAD0" w14:textId="77777777" w:rsidR="006E65E4" w:rsidRPr="00950D5A" w:rsidRDefault="006E65E4" w:rsidP="006E65E4">
            <w:pPr>
              <w:pStyle w:val="DHHStabletext"/>
              <w:rPr>
                <w:b/>
                <w:bCs/>
                <w:lang w:eastAsia="en-AU"/>
              </w:rPr>
            </w:pPr>
            <w:r w:rsidRPr="006E65E4">
              <w:rPr>
                <w:rStyle w:val="Strong"/>
              </w:rPr>
              <w:t>Dwellings:</w:t>
            </w:r>
            <w:r w:rsidRPr="00950D5A">
              <w:rPr>
                <w:b/>
                <w:bCs/>
                <w:lang w:eastAsia="en-AU"/>
              </w:rPr>
              <w:t xml:space="preserve"> </w:t>
            </w:r>
            <w:r w:rsidRPr="00950D5A">
              <w:rPr>
                <w:lang w:eastAsia="en-AU"/>
              </w:rPr>
              <w:t>Dwelling is a self-contained unit of accommodation such as a house/rooming house, apartment or caravan.</w:t>
            </w:r>
          </w:p>
        </w:tc>
      </w:tr>
      <w:tr w:rsidR="006E65E4" w:rsidRPr="00950D5A" w14:paraId="23BE3BDB" w14:textId="77777777" w:rsidTr="00717ED8">
        <w:trPr>
          <w:trHeight w:val="3808"/>
        </w:trPr>
        <w:tc>
          <w:tcPr>
            <w:tcW w:w="7780" w:type="dxa"/>
            <w:shd w:val="clear" w:color="auto" w:fill="auto"/>
            <w:hideMark/>
          </w:tcPr>
          <w:p w14:paraId="53D4E8D6" w14:textId="77777777" w:rsidR="00384990" w:rsidRDefault="006E65E4" w:rsidP="006E65E4">
            <w:pPr>
              <w:pStyle w:val="DHHStabletext"/>
              <w:spacing w:after="120"/>
              <w:rPr>
                <w:rStyle w:val="Strong"/>
              </w:rPr>
            </w:pPr>
            <w:r w:rsidRPr="006E65E4">
              <w:rPr>
                <w:rStyle w:val="Strong"/>
              </w:rPr>
              <w:t>Tier 1: Public Housing settings</w:t>
            </w:r>
          </w:p>
          <w:p w14:paraId="35239A9B" w14:textId="77777777" w:rsidR="00384990" w:rsidRDefault="006E65E4" w:rsidP="006E65E4">
            <w:pPr>
              <w:pStyle w:val="DHHStabletext"/>
              <w:spacing w:after="120"/>
              <w:rPr>
                <w:lang w:eastAsia="en-AU"/>
              </w:rPr>
            </w:pPr>
            <w:r w:rsidRPr="00950D5A">
              <w:rPr>
                <w:lang w:eastAsia="en-AU"/>
              </w:rPr>
              <w:t xml:space="preserve">* all high-rise public housing and high-risk medium-rise public housing </w:t>
            </w:r>
          </w:p>
          <w:p w14:paraId="55C7B770" w14:textId="4160AEED" w:rsidR="006E65E4" w:rsidRDefault="006E65E4" w:rsidP="006E65E4">
            <w:pPr>
              <w:pStyle w:val="DHHStabletext"/>
              <w:spacing w:after="120"/>
              <w:rPr>
                <w:lang w:eastAsia="en-AU"/>
              </w:rPr>
            </w:pPr>
            <w:r w:rsidRPr="00950D5A">
              <w:rPr>
                <w:lang w:eastAsia="en-AU"/>
              </w:rPr>
              <w:t xml:space="preserve">* low-risk medium-rise public housing and all low-rise public housing </w:t>
            </w:r>
          </w:p>
          <w:p w14:paraId="7FCA8155" w14:textId="77777777" w:rsidR="00384990" w:rsidRDefault="006E65E4" w:rsidP="006E65E4">
            <w:pPr>
              <w:pStyle w:val="DHHStabletext"/>
              <w:spacing w:after="120"/>
              <w:rPr>
                <w:rStyle w:val="Strong"/>
              </w:rPr>
            </w:pPr>
            <w:r w:rsidRPr="006E65E4">
              <w:rPr>
                <w:rStyle w:val="Strong"/>
              </w:rPr>
              <w:t>Tier 2: Staffed settings</w:t>
            </w:r>
          </w:p>
          <w:p w14:paraId="2A66486E" w14:textId="77777777" w:rsidR="00384990" w:rsidRDefault="006E65E4" w:rsidP="006E65E4">
            <w:pPr>
              <w:pStyle w:val="DHHStabletext"/>
              <w:spacing w:after="120"/>
              <w:rPr>
                <w:lang w:eastAsia="en-AU"/>
              </w:rPr>
            </w:pPr>
            <w:r w:rsidRPr="00950D5A">
              <w:rPr>
                <w:lang w:eastAsia="en-AU"/>
              </w:rPr>
              <w:t>* disability residential settings</w:t>
            </w:r>
          </w:p>
          <w:p w14:paraId="2A44584A" w14:textId="589D6CDD" w:rsidR="006E65E4" w:rsidRDefault="006E65E4" w:rsidP="006E65E4">
            <w:pPr>
              <w:pStyle w:val="DHHStabletext"/>
              <w:spacing w:after="120"/>
              <w:rPr>
                <w:lang w:eastAsia="en-AU"/>
              </w:rPr>
            </w:pPr>
            <w:r w:rsidRPr="00950D5A">
              <w:rPr>
                <w:lang w:eastAsia="en-AU"/>
              </w:rPr>
              <w:t xml:space="preserve">* supported residential services (SRS) </w:t>
            </w:r>
          </w:p>
          <w:p w14:paraId="770E272C" w14:textId="77777777" w:rsidR="00384990" w:rsidRDefault="006E65E4" w:rsidP="006E65E4">
            <w:pPr>
              <w:pStyle w:val="DHHStabletext"/>
              <w:spacing w:after="120"/>
              <w:rPr>
                <w:rStyle w:val="Strong"/>
              </w:rPr>
            </w:pPr>
            <w:r w:rsidRPr="006E65E4">
              <w:rPr>
                <w:rStyle w:val="Strong"/>
              </w:rPr>
              <w:t>Tier 3: Unstaffed settings</w:t>
            </w:r>
          </w:p>
          <w:p w14:paraId="39C5490C" w14:textId="77777777" w:rsidR="00384990" w:rsidRDefault="006E65E4" w:rsidP="006E65E4">
            <w:pPr>
              <w:pStyle w:val="DHHStabletext"/>
              <w:spacing w:after="120"/>
              <w:rPr>
                <w:lang w:eastAsia="en-AU"/>
              </w:rPr>
            </w:pPr>
            <w:r w:rsidRPr="00950D5A">
              <w:rPr>
                <w:lang w:eastAsia="en-AU"/>
              </w:rPr>
              <w:t>* community housing</w:t>
            </w:r>
          </w:p>
          <w:p w14:paraId="0C943C15" w14:textId="77777777" w:rsidR="00384990" w:rsidRDefault="006E65E4" w:rsidP="006E65E4">
            <w:pPr>
              <w:pStyle w:val="DHHStabletext"/>
              <w:spacing w:after="120"/>
              <w:rPr>
                <w:lang w:eastAsia="en-AU"/>
              </w:rPr>
            </w:pPr>
            <w:r w:rsidRPr="00950D5A">
              <w:rPr>
                <w:lang w:eastAsia="en-AU"/>
              </w:rPr>
              <w:t>* caravan parks</w:t>
            </w:r>
          </w:p>
          <w:p w14:paraId="7A035CF1" w14:textId="12A2DA0F" w:rsidR="006E65E4" w:rsidRDefault="006E65E4" w:rsidP="006E65E4">
            <w:pPr>
              <w:pStyle w:val="DHHStabletext"/>
              <w:spacing w:after="120"/>
              <w:rPr>
                <w:lang w:eastAsia="en-AU"/>
              </w:rPr>
            </w:pPr>
            <w:r w:rsidRPr="00950D5A">
              <w:rPr>
                <w:lang w:eastAsia="en-AU"/>
              </w:rPr>
              <w:t xml:space="preserve">* rooming houses </w:t>
            </w:r>
          </w:p>
          <w:p w14:paraId="585EEAE2" w14:textId="77777777" w:rsidR="00384990" w:rsidRDefault="006E65E4" w:rsidP="006E65E4">
            <w:pPr>
              <w:pStyle w:val="DHHStabletext"/>
              <w:spacing w:after="120"/>
              <w:rPr>
                <w:rStyle w:val="Strong"/>
              </w:rPr>
            </w:pPr>
            <w:r w:rsidRPr="006E65E4">
              <w:rPr>
                <w:rStyle w:val="Strong"/>
              </w:rPr>
              <w:t>Tier 4: Other settings</w:t>
            </w:r>
          </w:p>
          <w:p w14:paraId="5F78231E" w14:textId="77777777" w:rsidR="00384990" w:rsidRDefault="006E65E4" w:rsidP="006E65E4">
            <w:pPr>
              <w:pStyle w:val="DHHStabletext"/>
              <w:spacing w:after="120"/>
              <w:rPr>
                <w:lang w:eastAsia="en-AU"/>
              </w:rPr>
            </w:pPr>
            <w:r w:rsidRPr="00950D5A">
              <w:rPr>
                <w:lang w:eastAsia="en-AU"/>
              </w:rPr>
              <w:t xml:space="preserve">* disability community-based settings </w:t>
            </w:r>
          </w:p>
          <w:p w14:paraId="0D3FC3E4" w14:textId="7724F280" w:rsidR="006E65E4" w:rsidRPr="00950D5A" w:rsidRDefault="006E65E4" w:rsidP="006E65E4">
            <w:pPr>
              <w:pStyle w:val="DHHStabletext"/>
              <w:spacing w:after="120"/>
              <w:rPr>
                <w:u w:val="single"/>
                <w:lang w:eastAsia="en-AU"/>
              </w:rPr>
            </w:pPr>
            <w:r w:rsidRPr="00950D5A">
              <w:rPr>
                <w:lang w:eastAsia="en-AU"/>
              </w:rPr>
              <w:t>* other accommodation settings deemed to be in scope on a case by case basis</w:t>
            </w:r>
          </w:p>
        </w:tc>
        <w:tc>
          <w:tcPr>
            <w:tcW w:w="6400" w:type="dxa"/>
            <w:shd w:val="clear" w:color="auto" w:fill="auto"/>
            <w:hideMark/>
          </w:tcPr>
          <w:p w14:paraId="65B01ECD" w14:textId="77777777" w:rsidR="006E65E4" w:rsidRPr="006E65E4" w:rsidRDefault="006E65E4" w:rsidP="006E65E4">
            <w:pPr>
              <w:pStyle w:val="DHHStabletext"/>
              <w:spacing w:after="120"/>
              <w:rPr>
                <w:rStyle w:val="Strong"/>
              </w:rPr>
            </w:pPr>
            <w:r w:rsidRPr="006E65E4">
              <w:rPr>
                <w:rStyle w:val="Strong"/>
              </w:rPr>
              <w:t>Potential matters of concern to raise with HRAR Divisional Director:</w:t>
            </w:r>
          </w:p>
          <w:p w14:paraId="309A9B01" w14:textId="77777777" w:rsidR="006E65E4" w:rsidRPr="00950D5A" w:rsidRDefault="006E65E4" w:rsidP="006E65E4">
            <w:pPr>
              <w:pStyle w:val="DHHStabletext"/>
              <w:spacing w:after="120"/>
              <w:rPr>
                <w:lang w:eastAsia="en-AU"/>
              </w:rPr>
            </w:pPr>
            <w:r w:rsidRPr="00950D5A">
              <w:rPr>
                <w:lang w:eastAsia="en-AU"/>
              </w:rPr>
              <w:t>* Adherence to public health directions, including failure to have a COVID-Safe Plan in place where applicable</w:t>
            </w:r>
          </w:p>
          <w:p w14:paraId="36394ADB" w14:textId="77777777" w:rsidR="006E65E4" w:rsidRPr="00950D5A" w:rsidRDefault="006E65E4" w:rsidP="006E65E4">
            <w:pPr>
              <w:pStyle w:val="DHHStabletext"/>
              <w:spacing w:after="120"/>
              <w:rPr>
                <w:lang w:eastAsia="en-AU"/>
              </w:rPr>
            </w:pPr>
            <w:r w:rsidRPr="00950D5A">
              <w:rPr>
                <w:lang w:eastAsia="en-AU"/>
              </w:rPr>
              <w:t>* General matters that are not COVID-19 specific (e.g. related to resident or worker safety or quality of accommodation)</w:t>
            </w:r>
          </w:p>
          <w:p w14:paraId="4EF99710" w14:textId="77777777" w:rsidR="006E65E4" w:rsidRPr="00950D5A" w:rsidRDefault="006E65E4" w:rsidP="006E65E4">
            <w:pPr>
              <w:pStyle w:val="DHHStabletext"/>
              <w:spacing w:after="120"/>
              <w:rPr>
                <w:lang w:eastAsia="en-AU"/>
              </w:rPr>
            </w:pPr>
            <w:r w:rsidRPr="00950D5A">
              <w:rPr>
                <w:lang w:eastAsia="en-AU"/>
              </w:rPr>
              <w:t>* Limited level of engagement by proprietor or landlord to engage or cooperate</w:t>
            </w:r>
          </w:p>
          <w:p w14:paraId="5825230B" w14:textId="77777777" w:rsidR="006E65E4" w:rsidRPr="00950D5A" w:rsidRDefault="006E65E4" w:rsidP="006E65E4">
            <w:pPr>
              <w:pStyle w:val="DHHStabletext"/>
              <w:spacing w:after="120"/>
              <w:rPr>
                <w:lang w:eastAsia="en-AU"/>
              </w:rPr>
            </w:pPr>
            <w:r w:rsidRPr="00950D5A">
              <w:rPr>
                <w:lang w:eastAsia="en-AU"/>
              </w:rPr>
              <w:t>* Level of regulatory compliance (whether or not related to COVID safety)</w:t>
            </w:r>
          </w:p>
        </w:tc>
      </w:tr>
    </w:tbl>
    <w:p w14:paraId="540B18C0" w14:textId="77777777" w:rsidR="000174AD" w:rsidRPr="00410085" w:rsidRDefault="000174AD" w:rsidP="00ED2953">
      <w:pPr>
        <w:pStyle w:val="DHHSbody"/>
      </w:pPr>
    </w:p>
    <w:p w14:paraId="71908D7D" w14:textId="30F99A12" w:rsidR="000174AD" w:rsidRDefault="000174AD" w:rsidP="000174AD"/>
    <w:tbl>
      <w:tblPr>
        <w:tblpPr w:leftFromText="180" w:rightFromText="180" w:vertAnchor="text" w:horzAnchor="page" w:tblpX="790" w:tblpY="-141"/>
        <w:tblW w:w="1516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Quantative data"/>
      </w:tblPr>
      <w:tblGrid>
        <w:gridCol w:w="15163"/>
      </w:tblGrid>
      <w:tr w:rsidR="000174AD" w:rsidRPr="004B09ED" w14:paraId="4D7B9FE9" w14:textId="77777777" w:rsidTr="001A6170">
        <w:trPr>
          <w:trHeight w:val="268"/>
        </w:trPr>
        <w:tc>
          <w:tcPr>
            <w:tcW w:w="15163" w:type="dxa"/>
            <w:tcBorders>
              <w:bottom w:val="single" w:sz="4" w:space="0" w:color="808080" w:themeColor="background1" w:themeShade="80"/>
            </w:tcBorders>
            <w:shd w:val="clear" w:color="auto" w:fill="auto"/>
            <w:vAlign w:val="center"/>
            <w:hideMark/>
          </w:tcPr>
          <w:p w14:paraId="16C98EE5" w14:textId="16BE629A" w:rsidR="000174AD" w:rsidRPr="00384990" w:rsidRDefault="000174AD" w:rsidP="005325AE">
            <w:pPr>
              <w:pStyle w:val="DHHStablecolhead"/>
            </w:pPr>
            <w:r w:rsidRPr="00384990">
              <w:lastRenderedPageBreak/>
              <w:t>Quantitative Data</w:t>
            </w:r>
          </w:p>
        </w:tc>
      </w:tr>
      <w:tr w:rsidR="000174AD" w:rsidRPr="004B09ED" w14:paraId="50E7307B" w14:textId="77777777" w:rsidTr="001A6170">
        <w:trPr>
          <w:trHeight w:val="290"/>
        </w:trPr>
        <w:tc>
          <w:tcPr>
            <w:tcW w:w="15163" w:type="dxa"/>
            <w:tcBorders>
              <w:bottom w:val="nil"/>
            </w:tcBorders>
            <w:shd w:val="clear" w:color="auto" w:fill="auto"/>
            <w:vAlign w:val="center"/>
            <w:hideMark/>
          </w:tcPr>
          <w:p w14:paraId="1AB29ABE" w14:textId="4471E257" w:rsidR="000174AD" w:rsidRPr="00B97923" w:rsidRDefault="000174AD" w:rsidP="006E65E4">
            <w:pPr>
              <w:pStyle w:val="DHHStabletext"/>
              <w:rPr>
                <w:lang w:eastAsia="en-AU"/>
              </w:rPr>
            </w:pPr>
            <w:r w:rsidRPr="00B97923">
              <w:rPr>
                <w:lang w:eastAsia="en-AU"/>
              </w:rPr>
              <w:t xml:space="preserve">Total in scope facility sites - from master accommodation list </w:t>
            </w:r>
          </w:p>
        </w:tc>
      </w:tr>
      <w:tr w:rsidR="000174AD" w:rsidRPr="004B09ED" w14:paraId="20534523" w14:textId="77777777" w:rsidTr="001A6170">
        <w:trPr>
          <w:trHeight w:val="290"/>
        </w:trPr>
        <w:tc>
          <w:tcPr>
            <w:tcW w:w="15163" w:type="dxa"/>
            <w:tcBorders>
              <w:top w:val="nil"/>
              <w:bottom w:val="nil"/>
            </w:tcBorders>
            <w:shd w:val="clear" w:color="auto" w:fill="auto"/>
            <w:vAlign w:val="center"/>
            <w:hideMark/>
          </w:tcPr>
          <w:p w14:paraId="503BC722" w14:textId="288C2833" w:rsidR="000174AD" w:rsidRPr="00B97923" w:rsidRDefault="000174AD" w:rsidP="006E65E4">
            <w:pPr>
              <w:pStyle w:val="DHHStabletext"/>
              <w:rPr>
                <w:lang w:eastAsia="en-AU"/>
              </w:rPr>
            </w:pPr>
            <w:r w:rsidRPr="00B97923">
              <w:rPr>
                <w:lang w:eastAsia="en-AU"/>
              </w:rPr>
              <w:t xml:space="preserve">Total in scope dwellings (see glossary for definition) - from master accommodation list </w:t>
            </w:r>
          </w:p>
        </w:tc>
      </w:tr>
      <w:tr w:rsidR="000174AD" w:rsidRPr="004B09ED" w14:paraId="172127F8" w14:textId="77777777" w:rsidTr="001A6170">
        <w:trPr>
          <w:trHeight w:val="290"/>
        </w:trPr>
        <w:tc>
          <w:tcPr>
            <w:tcW w:w="15163" w:type="dxa"/>
            <w:tcBorders>
              <w:top w:val="nil"/>
              <w:bottom w:val="nil"/>
            </w:tcBorders>
            <w:shd w:val="clear" w:color="auto" w:fill="auto"/>
            <w:vAlign w:val="center"/>
            <w:hideMark/>
          </w:tcPr>
          <w:p w14:paraId="1897EB0E" w14:textId="30CC2257" w:rsidR="000174AD" w:rsidRPr="006E65E4" w:rsidRDefault="000174AD" w:rsidP="006E65E4">
            <w:pPr>
              <w:pStyle w:val="DHHStabletext"/>
              <w:spacing w:before="240"/>
              <w:rPr>
                <w:rStyle w:val="Strong"/>
              </w:rPr>
            </w:pPr>
            <w:r w:rsidRPr="006E65E4">
              <w:rPr>
                <w:rStyle w:val="Strong"/>
              </w:rPr>
              <w:t>Monitoring the current prevention and preparedness strategies / vaccine promotion and support</w:t>
            </w:r>
          </w:p>
        </w:tc>
      </w:tr>
      <w:tr w:rsidR="000174AD" w:rsidRPr="004B09ED" w14:paraId="1F453630" w14:textId="77777777" w:rsidTr="001A6170">
        <w:trPr>
          <w:trHeight w:val="290"/>
        </w:trPr>
        <w:tc>
          <w:tcPr>
            <w:tcW w:w="15163" w:type="dxa"/>
            <w:tcBorders>
              <w:top w:val="nil"/>
              <w:bottom w:val="nil"/>
            </w:tcBorders>
            <w:shd w:val="clear" w:color="auto" w:fill="auto"/>
            <w:vAlign w:val="center"/>
            <w:hideMark/>
          </w:tcPr>
          <w:p w14:paraId="6E070B31" w14:textId="42720B98" w:rsidR="000174AD" w:rsidRPr="00B97923" w:rsidRDefault="000174AD" w:rsidP="006E65E4">
            <w:pPr>
              <w:pStyle w:val="DHHStabletext"/>
              <w:rPr>
                <w:lang w:eastAsia="en-AU"/>
              </w:rPr>
            </w:pPr>
            <w:r w:rsidRPr="00B97923">
              <w:rPr>
                <w:lang w:eastAsia="en-AU"/>
              </w:rPr>
              <w:t>Number of dwellings engaged (at least 1 tenant/resident)</w:t>
            </w:r>
          </w:p>
        </w:tc>
      </w:tr>
      <w:tr w:rsidR="000174AD" w:rsidRPr="004B09ED" w14:paraId="56CA4D6B" w14:textId="77777777" w:rsidTr="001A6170">
        <w:trPr>
          <w:trHeight w:val="290"/>
        </w:trPr>
        <w:tc>
          <w:tcPr>
            <w:tcW w:w="15163" w:type="dxa"/>
            <w:tcBorders>
              <w:top w:val="nil"/>
              <w:bottom w:val="nil"/>
            </w:tcBorders>
            <w:shd w:val="clear" w:color="auto" w:fill="auto"/>
            <w:vAlign w:val="center"/>
            <w:hideMark/>
          </w:tcPr>
          <w:p w14:paraId="3D3C8BC1" w14:textId="75D54131" w:rsidR="000174AD" w:rsidRPr="00B97923" w:rsidRDefault="000174AD" w:rsidP="006E65E4">
            <w:pPr>
              <w:pStyle w:val="DHHStabletext"/>
              <w:rPr>
                <w:lang w:eastAsia="en-AU"/>
              </w:rPr>
            </w:pPr>
            <w:r w:rsidRPr="00B97923">
              <w:rPr>
                <w:lang w:eastAsia="en-AU"/>
              </w:rPr>
              <w:t>Number of accommodation settings engaged (at least 1 tenant/resident)</w:t>
            </w:r>
          </w:p>
        </w:tc>
      </w:tr>
      <w:tr w:rsidR="000174AD" w:rsidRPr="004B09ED" w14:paraId="32AD9219" w14:textId="77777777" w:rsidTr="001A6170">
        <w:trPr>
          <w:trHeight w:val="290"/>
        </w:trPr>
        <w:tc>
          <w:tcPr>
            <w:tcW w:w="15163" w:type="dxa"/>
            <w:tcBorders>
              <w:top w:val="nil"/>
              <w:bottom w:val="nil"/>
            </w:tcBorders>
            <w:shd w:val="clear" w:color="auto" w:fill="auto"/>
            <w:vAlign w:val="center"/>
            <w:hideMark/>
          </w:tcPr>
          <w:p w14:paraId="2A08E7B3" w14:textId="18626906" w:rsidR="000174AD" w:rsidRPr="00B97923" w:rsidRDefault="000174AD" w:rsidP="006E65E4">
            <w:pPr>
              <w:pStyle w:val="DHHStabletext"/>
              <w:rPr>
                <w:lang w:eastAsia="en-AU"/>
              </w:rPr>
            </w:pPr>
            <w:r w:rsidRPr="00B97923">
              <w:rPr>
                <w:lang w:eastAsia="en-AU"/>
              </w:rPr>
              <w:t>Total number of residents/tenants residing in these accommodation settings (approx. numbers)</w:t>
            </w:r>
          </w:p>
        </w:tc>
      </w:tr>
      <w:tr w:rsidR="000174AD" w:rsidRPr="004B09ED" w14:paraId="42B3D699" w14:textId="77777777" w:rsidTr="001A6170">
        <w:trPr>
          <w:trHeight w:val="590"/>
        </w:trPr>
        <w:tc>
          <w:tcPr>
            <w:tcW w:w="15163" w:type="dxa"/>
            <w:tcBorders>
              <w:top w:val="nil"/>
              <w:bottom w:val="nil"/>
            </w:tcBorders>
            <w:shd w:val="clear" w:color="auto" w:fill="auto"/>
            <w:vAlign w:val="center"/>
            <w:hideMark/>
          </w:tcPr>
          <w:p w14:paraId="47CA9B47" w14:textId="3CFBC48F" w:rsidR="000174AD" w:rsidRPr="00B97923" w:rsidRDefault="000174AD" w:rsidP="006E65E4">
            <w:pPr>
              <w:pStyle w:val="DHHStabletext"/>
              <w:rPr>
                <w:lang w:eastAsia="en-AU"/>
              </w:rPr>
            </w:pPr>
            <w:r w:rsidRPr="00B97923">
              <w:rPr>
                <w:lang w:eastAsia="en-AU"/>
              </w:rPr>
              <w:t>Number of individual residents/tenants and/or proprietor/managers engaged - prevention and preparedness activities, including vaccination support (interaction at accommodation settings and all other, e.g. pop up tents, concierge)</w:t>
            </w:r>
          </w:p>
        </w:tc>
      </w:tr>
      <w:tr w:rsidR="000174AD" w:rsidRPr="004B09ED" w14:paraId="1486D588" w14:textId="77777777" w:rsidTr="001A6170">
        <w:trPr>
          <w:trHeight w:val="290"/>
        </w:trPr>
        <w:tc>
          <w:tcPr>
            <w:tcW w:w="15163" w:type="dxa"/>
            <w:tcBorders>
              <w:top w:val="nil"/>
              <w:bottom w:val="nil"/>
            </w:tcBorders>
            <w:shd w:val="clear" w:color="auto" w:fill="auto"/>
            <w:vAlign w:val="center"/>
            <w:hideMark/>
          </w:tcPr>
          <w:p w14:paraId="083C8354" w14:textId="1B9A4E04" w:rsidR="000174AD" w:rsidRPr="00B97923" w:rsidRDefault="000174AD" w:rsidP="006E65E4">
            <w:pPr>
              <w:pStyle w:val="DHHStabletext"/>
              <w:rPr>
                <w:lang w:eastAsia="en-AU"/>
              </w:rPr>
            </w:pPr>
            <w:r w:rsidRPr="00B97923">
              <w:rPr>
                <w:lang w:eastAsia="en-AU"/>
              </w:rPr>
              <w:t>Number of residents/tenants requiring practical support to access vaccination, e.g. transportation, booking</w:t>
            </w:r>
          </w:p>
        </w:tc>
      </w:tr>
      <w:tr w:rsidR="000174AD" w:rsidRPr="004B09ED" w14:paraId="73437107" w14:textId="77777777" w:rsidTr="001A6170">
        <w:trPr>
          <w:trHeight w:val="580"/>
        </w:trPr>
        <w:tc>
          <w:tcPr>
            <w:tcW w:w="15163" w:type="dxa"/>
            <w:tcBorders>
              <w:top w:val="nil"/>
              <w:bottom w:val="nil"/>
            </w:tcBorders>
            <w:shd w:val="clear" w:color="auto" w:fill="auto"/>
            <w:vAlign w:val="center"/>
            <w:hideMark/>
          </w:tcPr>
          <w:p w14:paraId="13BA75BC" w14:textId="39E463F0" w:rsidR="000174AD" w:rsidRPr="00B97923" w:rsidRDefault="000174AD" w:rsidP="006E65E4">
            <w:pPr>
              <w:pStyle w:val="DHHStabletext"/>
              <w:rPr>
                <w:lang w:eastAsia="en-AU"/>
              </w:rPr>
            </w:pPr>
            <w:r w:rsidRPr="00B97923">
              <w:rPr>
                <w:lang w:eastAsia="en-AU"/>
              </w:rPr>
              <w:t>No of people Lead Providers supported to test (the support could be with either resident/tenant or manager/proprietor)</w:t>
            </w:r>
          </w:p>
        </w:tc>
      </w:tr>
      <w:tr w:rsidR="000174AD" w:rsidRPr="004B09ED" w14:paraId="6EA5D32D" w14:textId="77777777" w:rsidTr="001A6170">
        <w:trPr>
          <w:trHeight w:val="290"/>
        </w:trPr>
        <w:tc>
          <w:tcPr>
            <w:tcW w:w="15163" w:type="dxa"/>
            <w:tcBorders>
              <w:top w:val="nil"/>
              <w:bottom w:val="nil"/>
            </w:tcBorders>
            <w:shd w:val="clear" w:color="auto" w:fill="auto"/>
            <w:noWrap/>
            <w:vAlign w:val="center"/>
            <w:hideMark/>
          </w:tcPr>
          <w:p w14:paraId="10FDAB6B" w14:textId="2B522041" w:rsidR="000174AD" w:rsidRPr="006E65E4" w:rsidRDefault="000174AD" w:rsidP="006E65E4">
            <w:pPr>
              <w:pStyle w:val="DHHStabletext"/>
              <w:rPr>
                <w:rStyle w:val="Strong"/>
              </w:rPr>
            </w:pPr>
            <w:r w:rsidRPr="006E65E4">
              <w:rPr>
                <w:rStyle w:val="Strong"/>
              </w:rPr>
              <w:t>For Tier 1 (high/med rise if applicable) and Tier 2</w:t>
            </w:r>
          </w:p>
        </w:tc>
      </w:tr>
      <w:tr w:rsidR="000174AD" w:rsidRPr="004B09ED" w14:paraId="793D35CC" w14:textId="77777777" w:rsidTr="001A6170">
        <w:trPr>
          <w:trHeight w:val="1450"/>
        </w:trPr>
        <w:tc>
          <w:tcPr>
            <w:tcW w:w="15163" w:type="dxa"/>
            <w:tcBorders>
              <w:top w:val="nil"/>
              <w:bottom w:val="nil"/>
            </w:tcBorders>
            <w:shd w:val="clear" w:color="auto" w:fill="auto"/>
            <w:vAlign w:val="center"/>
            <w:hideMark/>
          </w:tcPr>
          <w:p w14:paraId="6AA36519" w14:textId="6415B5A2" w:rsidR="000174AD" w:rsidRPr="00B97923" w:rsidRDefault="000174AD" w:rsidP="006E65E4">
            <w:pPr>
              <w:pStyle w:val="DHHStabletext"/>
              <w:rPr>
                <w:lang w:eastAsia="en-AU"/>
              </w:rPr>
            </w:pPr>
            <w:r w:rsidRPr="00B97923">
              <w:rPr>
                <w:lang w:eastAsia="en-AU"/>
              </w:rPr>
              <w:t>Number of accommodation settings that have:</w:t>
            </w:r>
            <w:r w:rsidRPr="00B97923">
              <w:rPr>
                <w:lang w:eastAsia="en-AU"/>
              </w:rPr>
              <w:br/>
              <w:t>* Prevention strategies maintained</w:t>
            </w:r>
          </w:p>
          <w:p w14:paraId="196A64C0" w14:textId="0BBE9AA0" w:rsidR="000174AD" w:rsidRPr="00B97923" w:rsidRDefault="000174AD" w:rsidP="006E65E4">
            <w:pPr>
              <w:pStyle w:val="DHHStabletext"/>
              <w:rPr>
                <w:lang w:eastAsia="en-AU"/>
              </w:rPr>
            </w:pPr>
            <w:r w:rsidRPr="00B97923">
              <w:rPr>
                <w:lang w:eastAsia="en-AU"/>
              </w:rPr>
              <w:t>* Outbreak support plan in place</w:t>
            </w:r>
          </w:p>
          <w:p w14:paraId="3C67E807" w14:textId="49611141" w:rsidR="000174AD" w:rsidRPr="00B97923" w:rsidRDefault="000174AD" w:rsidP="006E65E4">
            <w:pPr>
              <w:pStyle w:val="DHHStabletext"/>
              <w:rPr>
                <w:lang w:eastAsia="en-AU"/>
              </w:rPr>
            </w:pPr>
            <w:r w:rsidRPr="00B97923">
              <w:rPr>
                <w:lang w:eastAsia="en-AU"/>
              </w:rPr>
              <w:t>* Approp. levels of PPE in stock</w:t>
            </w:r>
          </w:p>
        </w:tc>
      </w:tr>
      <w:tr w:rsidR="000174AD" w:rsidRPr="004B09ED" w14:paraId="5C754511" w14:textId="77777777" w:rsidTr="001A6170">
        <w:trPr>
          <w:trHeight w:val="290"/>
        </w:trPr>
        <w:tc>
          <w:tcPr>
            <w:tcW w:w="15163" w:type="dxa"/>
            <w:tcBorders>
              <w:top w:val="nil"/>
              <w:bottom w:val="nil"/>
            </w:tcBorders>
            <w:shd w:val="clear" w:color="auto" w:fill="auto"/>
            <w:vAlign w:val="center"/>
            <w:hideMark/>
          </w:tcPr>
          <w:p w14:paraId="3C45CA78" w14:textId="7AFE5D68" w:rsidR="000174AD" w:rsidRPr="00B97923" w:rsidRDefault="000174AD" w:rsidP="006E65E4">
            <w:pPr>
              <w:pStyle w:val="DHHStabletext"/>
              <w:rPr>
                <w:lang w:eastAsia="en-AU"/>
              </w:rPr>
            </w:pPr>
            <w:r w:rsidRPr="00B97923">
              <w:rPr>
                <w:lang w:eastAsia="en-AU"/>
              </w:rPr>
              <w:t>Number requiring additional support to reach compliance with above section</w:t>
            </w:r>
          </w:p>
        </w:tc>
      </w:tr>
      <w:tr w:rsidR="000174AD" w:rsidRPr="004B09ED" w14:paraId="090D567B" w14:textId="77777777" w:rsidTr="001A6170">
        <w:trPr>
          <w:trHeight w:val="340"/>
        </w:trPr>
        <w:tc>
          <w:tcPr>
            <w:tcW w:w="15163" w:type="dxa"/>
            <w:tcBorders>
              <w:top w:val="nil"/>
              <w:bottom w:val="nil"/>
            </w:tcBorders>
            <w:shd w:val="clear" w:color="auto" w:fill="auto"/>
            <w:vAlign w:val="center"/>
            <w:hideMark/>
          </w:tcPr>
          <w:p w14:paraId="74840DAB" w14:textId="06D0BA6E" w:rsidR="000174AD" w:rsidRPr="001A6170" w:rsidRDefault="000174AD" w:rsidP="001A6170">
            <w:pPr>
              <w:pStyle w:val="DHHStabletext"/>
              <w:spacing w:before="240"/>
              <w:rPr>
                <w:rStyle w:val="Strong"/>
              </w:rPr>
            </w:pPr>
            <w:r w:rsidRPr="001A6170">
              <w:rPr>
                <w:rStyle w:val="Strong"/>
              </w:rPr>
              <w:t>Resident/tenants presenting needs are identified and met through active linkage to the broader system supports</w:t>
            </w:r>
          </w:p>
        </w:tc>
      </w:tr>
      <w:tr w:rsidR="000174AD" w:rsidRPr="004B09ED" w14:paraId="31BE1E12" w14:textId="77777777" w:rsidTr="001A6170">
        <w:trPr>
          <w:trHeight w:val="290"/>
        </w:trPr>
        <w:tc>
          <w:tcPr>
            <w:tcW w:w="15163" w:type="dxa"/>
            <w:tcBorders>
              <w:top w:val="nil"/>
              <w:bottom w:val="nil"/>
            </w:tcBorders>
            <w:shd w:val="clear" w:color="auto" w:fill="auto"/>
            <w:vAlign w:val="center"/>
            <w:hideMark/>
          </w:tcPr>
          <w:p w14:paraId="5FBB5BD0" w14:textId="7DC66410" w:rsidR="000174AD" w:rsidRPr="00B97923" w:rsidRDefault="000174AD" w:rsidP="006E65E4">
            <w:pPr>
              <w:pStyle w:val="DHHStabletext"/>
              <w:rPr>
                <w:lang w:eastAsia="en-AU"/>
              </w:rPr>
            </w:pPr>
            <w:r w:rsidRPr="00B97923">
              <w:rPr>
                <w:lang w:eastAsia="en-AU"/>
              </w:rPr>
              <w:t xml:space="preserve">No. of people showing interest in additional supports or advocacy services </w:t>
            </w:r>
          </w:p>
        </w:tc>
      </w:tr>
      <w:tr w:rsidR="000174AD" w:rsidRPr="004B09ED" w14:paraId="0676F8A5" w14:textId="77777777" w:rsidTr="001A6170">
        <w:trPr>
          <w:trHeight w:val="290"/>
        </w:trPr>
        <w:tc>
          <w:tcPr>
            <w:tcW w:w="15163" w:type="dxa"/>
            <w:tcBorders>
              <w:top w:val="nil"/>
              <w:bottom w:val="nil"/>
            </w:tcBorders>
            <w:shd w:val="clear" w:color="auto" w:fill="auto"/>
            <w:vAlign w:val="center"/>
            <w:hideMark/>
          </w:tcPr>
          <w:p w14:paraId="65945468" w14:textId="5B6173FA" w:rsidR="000174AD" w:rsidRPr="00B97923" w:rsidRDefault="000174AD" w:rsidP="006E65E4">
            <w:pPr>
              <w:pStyle w:val="DHHStabletext"/>
              <w:rPr>
                <w:lang w:eastAsia="en-AU"/>
              </w:rPr>
            </w:pPr>
            <w:r w:rsidRPr="00B97923">
              <w:rPr>
                <w:lang w:eastAsia="en-AU"/>
              </w:rPr>
              <w:t>No. of referrals to internal Lead Provider services (excluding referrals for vaccination)</w:t>
            </w:r>
          </w:p>
        </w:tc>
      </w:tr>
      <w:tr w:rsidR="000174AD" w:rsidRPr="004B09ED" w14:paraId="7624EE63" w14:textId="77777777" w:rsidTr="001A6170">
        <w:trPr>
          <w:trHeight w:val="290"/>
        </w:trPr>
        <w:tc>
          <w:tcPr>
            <w:tcW w:w="15163" w:type="dxa"/>
            <w:tcBorders>
              <w:top w:val="nil"/>
              <w:bottom w:val="nil"/>
            </w:tcBorders>
            <w:shd w:val="clear" w:color="auto" w:fill="auto"/>
            <w:vAlign w:val="center"/>
            <w:hideMark/>
          </w:tcPr>
          <w:p w14:paraId="1D2D83C5" w14:textId="21D5BB05" w:rsidR="000174AD" w:rsidRPr="00B97923" w:rsidRDefault="000174AD" w:rsidP="006E65E4">
            <w:pPr>
              <w:pStyle w:val="DHHStabletext"/>
              <w:rPr>
                <w:lang w:eastAsia="en-AU"/>
              </w:rPr>
            </w:pPr>
            <w:r w:rsidRPr="00B97923">
              <w:rPr>
                <w:lang w:eastAsia="en-AU"/>
              </w:rPr>
              <w:t>No. of referrals to external services (excluding referrals for vaccination)</w:t>
            </w:r>
          </w:p>
        </w:tc>
      </w:tr>
      <w:tr w:rsidR="000174AD" w:rsidRPr="004B09ED" w14:paraId="5DB1CE04" w14:textId="77777777" w:rsidTr="001A6170">
        <w:trPr>
          <w:trHeight w:val="119"/>
        </w:trPr>
        <w:tc>
          <w:tcPr>
            <w:tcW w:w="15163" w:type="dxa"/>
            <w:tcBorders>
              <w:top w:val="nil"/>
              <w:bottom w:val="nil"/>
            </w:tcBorders>
            <w:shd w:val="clear" w:color="auto" w:fill="auto"/>
            <w:vAlign w:val="center"/>
            <w:hideMark/>
          </w:tcPr>
          <w:p w14:paraId="1C3CA5D0" w14:textId="52103815" w:rsidR="000174AD" w:rsidRPr="001A6170" w:rsidRDefault="000174AD" w:rsidP="001A6170">
            <w:pPr>
              <w:pStyle w:val="DHHStabletext"/>
              <w:spacing w:before="240"/>
              <w:rPr>
                <w:rStyle w:val="Strong"/>
              </w:rPr>
            </w:pPr>
            <w:r w:rsidRPr="001A6170">
              <w:rPr>
                <w:rStyle w:val="Strong"/>
              </w:rPr>
              <w:t>Concerns</w:t>
            </w:r>
          </w:p>
        </w:tc>
      </w:tr>
      <w:tr w:rsidR="000174AD" w:rsidRPr="004B09ED" w14:paraId="75111BAD" w14:textId="77777777" w:rsidTr="001A6170">
        <w:trPr>
          <w:trHeight w:val="300"/>
        </w:trPr>
        <w:tc>
          <w:tcPr>
            <w:tcW w:w="15163" w:type="dxa"/>
            <w:tcBorders>
              <w:top w:val="nil"/>
            </w:tcBorders>
            <w:shd w:val="clear" w:color="auto" w:fill="auto"/>
            <w:vAlign w:val="center"/>
            <w:hideMark/>
          </w:tcPr>
          <w:p w14:paraId="093944CD" w14:textId="2B7353CB" w:rsidR="000174AD" w:rsidRPr="00B97923" w:rsidRDefault="000174AD" w:rsidP="006E65E4">
            <w:pPr>
              <w:pStyle w:val="DHHStabletext"/>
              <w:rPr>
                <w:lang w:eastAsia="en-AU"/>
              </w:rPr>
            </w:pPr>
            <w:r w:rsidRPr="00B97923">
              <w:rPr>
                <w:lang w:eastAsia="en-AU"/>
              </w:rPr>
              <w:t xml:space="preserve">Number concerns escalated HRAR Division Director (see glossary for definition) </w:t>
            </w:r>
          </w:p>
        </w:tc>
      </w:tr>
    </w:tbl>
    <w:tbl>
      <w:tblPr>
        <w:tblW w:w="1515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Quantative data"/>
      </w:tblPr>
      <w:tblGrid>
        <w:gridCol w:w="15158"/>
      </w:tblGrid>
      <w:tr w:rsidR="001A6170" w:rsidRPr="00D62192" w14:paraId="50491415" w14:textId="77777777" w:rsidTr="00384990">
        <w:trPr>
          <w:trHeight w:val="505"/>
        </w:trPr>
        <w:tc>
          <w:tcPr>
            <w:tcW w:w="15158" w:type="dxa"/>
            <w:shd w:val="clear" w:color="auto" w:fill="auto"/>
            <w:vAlign w:val="center"/>
          </w:tcPr>
          <w:p w14:paraId="74FE066A" w14:textId="77777777" w:rsidR="001A6170" w:rsidRPr="00384990" w:rsidRDefault="001A6170" w:rsidP="005325AE">
            <w:pPr>
              <w:pStyle w:val="DHHStablecolhead"/>
            </w:pPr>
            <w:r w:rsidRPr="00384990">
              <w:lastRenderedPageBreak/>
              <w:t>Qualitative Data</w:t>
            </w:r>
          </w:p>
        </w:tc>
      </w:tr>
      <w:tr w:rsidR="001A6170" w:rsidRPr="00D62192" w14:paraId="38B3A6DA" w14:textId="77777777" w:rsidTr="00384990">
        <w:trPr>
          <w:trHeight w:val="509"/>
        </w:trPr>
        <w:tc>
          <w:tcPr>
            <w:tcW w:w="15158" w:type="dxa"/>
            <w:vMerge w:val="restart"/>
            <w:shd w:val="clear" w:color="auto" w:fill="auto"/>
            <w:vAlign w:val="center"/>
            <w:hideMark/>
          </w:tcPr>
          <w:p w14:paraId="1E9441F9" w14:textId="77777777" w:rsidR="001A6170" w:rsidRPr="00D62192" w:rsidRDefault="001A6170" w:rsidP="001A6170">
            <w:pPr>
              <w:pStyle w:val="DHHStabletext"/>
              <w:rPr>
                <w:lang w:eastAsia="en-AU"/>
              </w:rPr>
            </w:pPr>
            <w:r w:rsidRPr="00D62192">
              <w:rPr>
                <w:lang w:eastAsia="en-AU"/>
              </w:rPr>
              <w:t>Key achievements since last reporting period. For example, review of Governance arrangements completed, community survey completed, review of action plans, additional supports for residents/tenants</w:t>
            </w:r>
          </w:p>
        </w:tc>
      </w:tr>
      <w:tr w:rsidR="001A6170" w:rsidRPr="00D62192" w14:paraId="3DBA08E4" w14:textId="77777777" w:rsidTr="00384990">
        <w:trPr>
          <w:trHeight w:val="290"/>
        </w:trPr>
        <w:tc>
          <w:tcPr>
            <w:tcW w:w="15158" w:type="dxa"/>
            <w:vMerge/>
            <w:vAlign w:val="center"/>
            <w:hideMark/>
          </w:tcPr>
          <w:p w14:paraId="5F14D847" w14:textId="77777777" w:rsidR="001A6170" w:rsidRPr="00D62192" w:rsidRDefault="001A6170" w:rsidP="001A6170">
            <w:pPr>
              <w:pStyle w:val="DHHStabletext"/>
              <w:rPr>
                <w:lang w:eastAsia="en-AU"/>
              </w:rPr>
            </w:pPr>
          </w:p>
        </w:tc>
      </w:tr>
      <w:tr w:rsidR="001A6170" w:rsidRPr="00D62192" w14:paraId="39BD50F8" w14:textId="77777777" w:rsidTr="00384990">
        <w:trPr>
          <w:trHeight w:val="290"/>
        </w:trPr>
        <w:tc>
          <w:tcPr>
            <w:tcW w:w="15158" w:type="dxa"/>
            <w:vMerge/>
            <w:vAlign w:val="center"/>
            <w:hideMark/>
          </w:tcPr>
          <w:p w14:paraId="24F3D84A" w14:textId="77777777" w:rsidR="001A6170" w:rsidRPr="00D62192" w:rsidRDefault="001A6170" w:rsidP="001A6170">
            <w:pPr>
              <w:pStyle w:val="DHHStabletext"/>
              <w:rPr>
                <w:lang w:eastAsia="en-AU"/>
              </w:rPr>
            </w:pPr>
          </w:p>
        </w:tc>
      </w:tr>
      <w:tr w:rsidR="001A6170" w:rsidRPr="00D62192" w14:paraId="33B23BCA" w14:textId="77777777" w:rsidTr="00384990">
        <w:trPr>
          <w:trHeight w:val="290"/>
        </w:trPr>
        <w:tc>
          <w:tcPr>
            <w:tcW w:w="15158" w:type="dxa"/>
            <w:vMerge/>
            <w:vAlign w:val="center"/>
            <w:hideMark/>
          </w:tcPr>
          <w:p w14:paraId="2ED81BE0" w14:textId="77777777" w:rsidR="001A6170" w:rsidRPr="00D62192" w:rsidRDefault="001A6170" w:rsidP="001A6170">
            <w:pPr>
              <w:pStyle w:val="DHHStabletext"/>
              <w:rPr>
                <w:lang w:eastAsia="en-AU"/>
              </w:rPr>
            </w:pPr>
          </w:p>
        </w:tc>
      </w:tr>
      <w:tr w:rsidR="001A6170" w:rsidRPr="00D62192" w14:paraId="0F8E8CC4" w14:textId="77777777" w:rsidTr="00EB78F0">
        <w:trPr>
          <w:trHeight w:val="241"/>
        </w:trPr>
        <w:tc>
          <w:tcPr>
            <w:tcW w:w="15158" w:type="dxa"/>
            <w:vMerge/>
            <w:vAlign w:val="center"/>
            <w:hideMark/>
          </w:tcPr>
          <w:p w14:paraId="57AC7EEF" w14:textId="77777777" w:rsidR="001A6170" w:rsidRPr="00D62192" w:rsidRDefault="001A6170" w:rsidP="001A6170">
            <w:pPr>
              <w:pStyle w:val="DHHStabletext"/>
              <w:rPr>
                <w:lang w:eastAsia="en-AU"/>
              </w:rPr>
            </w:pPr>
          </w:p>
        </w:tc>
      </w:tr>
      <w:tr w:rsidR="001A6170" w:rsidRPr="00D62192" w14:paraId="1FD3A15A" w14:textId="77777777" w:rsidTr="00384990">
        <w:trPr>
          <w:trHeight w:val="400"/>
        </w:trPr>
        <w:tc>
          <w:tcPr>
            <w:tcW w:w="15158" w:type="dxa"/>
            <w:vMerge w:val="restart"/>
            <w:shd w:val="clear" w:color="auto" w:fill="auto"/>
            <w:vAlign w:val="center"/>
            <w:hideMark/>
          </w:tcPr>
          <w:p w14:paraId="6ABAEAEE" w14:textId="77777777" w:rsidR="001A6170" w:rsidRPr="00D62192" w:rsidRDefault="001A6170" w:rsidP="001A6170">
            <w:pPr>
              <w:pStyle w:val="DHHStabletext"/>
              <w:rPr>
                <w:lang w:eastAsia="en-AU"/>
              </w:rPr>
            </w:pPr>
            <w:r w:rsidRPr="00D62192">
              <w:rPr>
                <w:lang w:eastAsia="en-AU"/>
              </w:rPr>
              <w:t>Any issues, implementation risks and mitigating actions taken, e.g. risks/barriers to entering properties / preventing completion of this work, and barriers to vaccination access</w:t>
            </w:r>
          </w:p>
        </w:tc>
      </w:tr>
      <w:tr w:rsidR="001A6170" w:rsidRPr="00D62192" w14:paraId="32CE2ADD" w14:textId="77777777" w:rsidTr="00384990">
        <w:trPr>
          <w:trHeight w:val="290"/>
        </w:trPr>
        <w:tc>
          <w:tcPr>
            <w:tcW w:w="15158" w:type="dxa"/>
            <w:vMerge/>
            <w:vAlign w:val="center"/>
            <w:hideMark/>
          </w:tcPr>
          <w:p w14:paraId="14E1BAF6" w14:textId="77777777" w:rsidR="001A6170" w:rsidRPr="00D62192" w:rsidRDefault="001A6170" w:rsidP="001A6170">
            <w:pPr>
              <w:pStyle w:val="DHHStabletext"/>
              <w:rPr>
                <w:lang w:eastAsia="en-AU"/>
              </w:rPr>
            </w:pPr>
          </w:p>
        </w:tc>
      </w:tr>
      <w:tr w:rsidR="001A6170" w:rsidRPr="00D62192" w14:paraId="37FDA2C5" w14:textId="77777777" w:rsidTr="00384990">
        <w:trPr>
          <w:trHeight w:val="290"/>
        </w:trPr>
        <w:tc>
          <w:tcPr>
            <w:tcW w:w="15158" w:type="dxa"/>
            <w:vMerge/>
            <w:vAlign w:val="center"/>
            <w:hideMark/>
          </w:tcPr>
          <w:p w14:paraId="2A4F1C4E" w14:textId="77777777" w:rsidR="001A6170" w:rsidRPr="00D62192" w:rsidRDefault="001A6170" w:rsidP="001A6170">
            <w:pPr>
              <w:pStyle w:val="DHHStabletext"/>
              <w:rPr>
                <w:lang w:eastAsia="en-AU"/>
              </w:rPr>
            </w:pPr>
          </w:p>
        </w:tc>
      </w:tr>
      <w:tr w:rsidR="001A6170" w:rsidRPr="00D62192" w14:paraId="56DDAD86" w14:textId="77777777" w:rsidTr="00384990">
        <w:trPr>
          <w:trHeight w:val="290"/>
        </w:trPr>
        <w:tc>
          <w:tcPr>
            <w:tcW w:w="15158" w:type="dxa"/>
            <w:vMerge/>
            <w:vAlign w:val="center"/>
            <w:hideMark/>
          </w:tcPr>
          <w:p w14:paraId="185A2F85" w14:textId="77777777" w:rsidR="001A6170" w:rsidRPr="00D62192" w:rsidRDefault="001A6170" w:rsidP="001A6170">
            <w:pPr>
              <w:pStyle w:val="DHHStabletext"/>
              <w:rPr>
                <w:lang w:eastAsia="en-AU"/>
              </w:rPr>
            </w:pPr>
          </w:p>
        </w:tc>
      </w:tr>
      <w:tr w:rsidR="001A6170" w:rsidRPr="00D62192" w14:paraId="4A283FDE" w14:textId="77777777" w:rsidTr="00384990">
        <w:trPr>
          <w:trHeight w:val="241"/>
        </w:trPr>
        <w:tc>
          <w:tcPr>
            <w:tcW w:w="15158" w:type="dxa"/>
            <w:vMerge/>
            <w:vAlign w:val="center"/>
            <w:hideMark/>
          </w:tcPr>
          <w:p w14:paraId="1156CDF7" w14:textId="77777777" w:rsidR="001A6170" w:rsidRPr="00D62192" w:rsidRDefault="001A6170" w:rsidP="001A6170">
            <w:pPr>
              <w:pStyle w:val="DHHStabletext"/>
              <w:rPr>
                <w:lang w:eastAsia="en-AU"/>
              </w:rPr>
            </w:pPr>
          </w:p>
        </w:tc>
      </w:tr>
      <w:tr w:rsidR="001A6170" w:rsidRPr="00D62192" w14:paraId="4300FAA3" w14:textId="77777777" w:rsidTr="00384990">
        <w:trPr>
          <w:trHeight w:val="400"/>
        </w:trPr>
        <w:tc>
          <w:tcPr>
            <w:tcW w:w="15158" w:type="dxa"/>
            <w:vMerge w:val="restart"/>
            <w:shd w:val="clear" w:color="auto" w:fill="auto"/>
            <w:vAlign w:val="center"/>
            <w:hideMark/>
          </w:tcPr>
          <w:p w14:paraId="0526F7E7" w14:textId="77777777" w:rsidR="001A6170" w:rsidRPr="00D62192" w:rsidRDefault="001A6170" w:rsidP="001A6170">
            <w:pPr>
              <w:pStyle w:val="DHHStabletext"/>
              <w:rPr>
                <w:lang w:eastAsia="en-AU"/>
              </w:rPr>
            </w:pPr>
            <w:r w:rsidRPr="00D62192">
              <w:rPr>
                <w:lang w:eastAsia="en-AU"/>
              </w:rPr>
              <w:t>Community engagement activit</w:t>
            </w:r>
            <w:r>
              <w:rPr>
                <w:lang w:eastAsia="en-AU"/>
              </w:rPr>
              <w:t>i</w:t>
            </w:r>
            <w:r w:rsidRPr="00D62192">
              <w:rPr>
                <w:lang w:eastAsia="en-AU"/>
              </w:rPr>
              <w:t xml:space="preserve">es based on local community needs and demographics, ensuring all types of communities in HRAR accommodation settings have been considered. For example, pop ups in response to community need, vaccination program advice provided </w:t>
            </w:r>
          </w:p>
        </w:tc>
      </w:tr>
      <w:tr w:rsidR="001A6170" w:rsidRPr="00D62192" w14:paraId="58F8D116" w14:textId="77777777" w:rsidTr="00384990">
        <w:trPr>
          <w:trHeight w:val="290"/>
        </w:trPr>
        <w:tc>
          <w:tcPr>
            <w:tcW w:w="15158" w:type="dxa"/>
            <w:vMerge/>
            <w:vAlign w:val="center"/>
            <w:hideMark/>
          </w:tcPr>
          <w:p w14:paraId="179C0F04" w14:textId="77777777" w:rsidR="001A6170" w:rsidRPr="00D62192" w:rsidRDefault="001A6170" w:rsidP="00FD0C9C">
            <w:pPr>
              <w:rPr>
                <w:rFonts w:ascii="Calibri" w:hAnsi="Calibri" w:cs="Calibri"/>
                <w:sz w:val="22"/>
                <w:szCs w:val="22"/>
                <w:lang w:eastAsia="en-AU"/>
              </w:rPr>
            </w:pPr>
          </w:p>
        </w:tc>
      </w:tr>
      <w:tr w:rsidR="001A6170" w:rsidRPr="00D62192" w14:paraId="5464ADB4" w14:textId="77777777" w:rsidTr="00384990">
        <w:trPr>
          <w:trHeight w:val="290"/>
        </w:trPr>
        <w:tc>
          <w:tcPr>
            <w:tcW w:w="15158" w:type="dxa"/>
            <w:vMerge/>
            <w:vAlign w:val="center"/>
            <w:hideMark/>
          </w:tcPr>
          <w:p w14:paraId="5C7A2184" w14:textId="77777777" w:rsidR="001A6170" w:rsidRPr="00D62192" w:rsidRDefault="001A6170" w:rsidP="00FD0C9C">
            <w:pPr>
              <w:rPr>
                <w:rFonts w:ascii="Calibri" w:hAnsi="Calibri" w:cs="Calibri"/>
                <w:sz w:val="22"/>
                <w:szCs w:val="22"/>
                <w:lang w:eastAsia="en-AU"/>
              </w:rPr>
            </w:pPr>
          </w:p>
        </w:tc>
      </w:tr>
      <w:tr w:rsidR="001A6170" w:rsidRPr="00D62192" w14:paraId="0B426982" w14:textId="77777777" w:rsidTr="00384990">
        <w:trPr>
          <w:trHeight w:val="400"/>
        </w:trPr>
        <w:tc>
          <w:tcPr>
            <w:tcW w:w="15158" w:type="dxa"/>
            <w:vMerge/>
            <w:vAlign w:val="center"/>
            <w:hideMark/>
          </w:tcPr>
          <w:p w14:paraId="3568A9AF" w14:textId="77777777" w:rsidR="001A6170" w:rsidRPr="00D62192" w:rsidRDefault="001A6170" w:rsidP="00FD0C9C">
            <w:pPr>
              <w:rPr>
                <w:rFonts w:ascii="Calibri" w:hAnsi="Calibri" w:cs="Calibri"/>
                <w:sz w:val="22"/>
                <w:szCs w:val="22"/>
                <w:lang w:eastAsia="en-AU"/>
              </w:rPr>
            </w:pPr>
          </w:p>
        </w:tc>
      </w:tr>
      <w:tr w:rsidR="001A6170" w:rsidRPr="00D62192" w14:paraId="704509DB" w14:textId="77777777" w:rsidTr="00384990">
        <w:trPr>
          <w:trHeight w:val="300"/>
        </w:trPr>
        <w:tc>
          <w:tcPr>
            <w:tcW w:w="15158" w:type="dxa"/>
            <w:vMerge/>
            <w:vAlign w:val="center"/>
            <w:hideMark/>
          </w:tcPr>
          <w:p w14:paraId="0DD645EB" w14:textId="77777777" w:rsidR="001A6170" w:rsidRPr="00D62192" w:rsidRDefault="001A6170" w:rsidP="00FD0C9C">
            <w:pPr>
              <w:rPr>
                <w:rFonts w:ascii="Calibri" w:hAnsi="Calibri" w:cs="Calibri"/>
                <w:sz w:val="22"/>
                <w:szCs w:val="22"/>
                <w:lang w:eastAsia="en-AU"/>
              </w:rPr>
            </w:pPr>
          </w:p>
        </w:tc>
      </w:tr>
    </w:tbl>
    <w:p w14:paraId="4B809EF1" w14:textId="1F808737" w:rsidR="000174AD" w:rsidRDefault="000174AD" w:rsidP="000174AD">
      <w:r>
        <w:br w:type="page"/>
      </w:r>
    </w:p>
    <w:p w14:paraId="205E6795" w14:textId="574E4E58" w:rsidR="000174AD" w:rsidRDefault="00B82999" w:rsidP="000174AD">
      <w:pPr>
        <w:rPr>
          <w:b/>
          <w:color w:val="007B4B"/>
          <w:sz w:val="28"/>
          <w:szCs w:val="28"/>
        </w:rPr>
      </w:pPr>
      <w:r w:rsidRPr="00173501">
        <w:rPr>
          <w:b/>
          <w:noProof/>
          <w:color w:val="007B4B"/>
          <w:sz w:val="28"/>
          <w:szCs w:val="28"/>
        </w:rPr>
        <w:lastRenderedPageBreak/>
        <mc:AlternateContent>
          <mc:Choice Requires="wps">
            <w:drawing>
              <wp:anchor distT="45720" distB="45720" distL="114300" distR="114300" simplePos="0" relativeHeight="251666432" behindDoc="0" locked="0" layoutInCell="1" allowOverlap="1" wp14:anchorId="58A3CF00" wp14:editId="1A9E577B">
                <wp:simplePos x="0" y="0"/>
                <wp:positionH relativeFrom="column">
                  <wp:posOffset>7146405</wp:posOffset>
                </wp:positionH>
                <wp:positionV relativeFrom="paragraph">
                  <wp:posOffset>0</wp:posOffset>
                </wp:positionV>
                <wp:extent cx="1209675" cy="1404620"/>
                <wp:effectExtent l="57150" t="0" r="85725" b="140970"/>
                <wp:wrapSquare wrapText="bothSides"/>
                <wp:docPr id="2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solidFill>
                          <a:srgbClr val="FFFFFF"/>
                        </a:solidFill>
                        <a:ln w="9525">
                          <a:solidFill>
                            <a:srgbClr val="000000"/>
                          </a:solidFill>
                          <a:miter lim="800000"/>
                          <a:headEnd/>
                          <a:tailEnd/>
                        </a:ln>
                        <a:effectLst>
                          <a:outerShdw blurRad="50800" dist="50800" dir="5400000" algn="ctr" rotWithShape="0">
                            <a:schemeClr val="accent1">
                              <a:lumMod val="40000"/>
                              <a:lumOff val="60000"/>
                            </a:schemeClr>
                          </a:outerShdw>
                        </a:effectLst>
                      </wps:spPr>
                      <wps:txbx>
                        <w:txbxContent>
                          <w:p w14:paraId="4CB761AB" w14:textId="77777777" w:rsidR="00065F65" w:rsidRPr="006F5FA0" w:rsidRDefault="00065F65" w:rsidP="001A6170">
                            <w:pPr>
                              <w:pStyle w:val="DHHSbody"/>
                            </w:pPr>
                            <w:r w:rsidRPr="006F5FA0">
                              <w:t>Qualitative Data listed above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3CF00" id="_x0000_t202" coordsize="21600,21600" o:spt="202" path="m,l,21600r21600,l21600,xe">
                <v:stroke joinstyle="miter"/>
                <v:path gradientshapeok="t" o:connecttype="rect"/>
              </v:shapetype>
              <v:shape id="Text Box 2" o:spid="_x0000_s1026" type="#_x0000_t202" alt="&quot;&quot;" style="position:absolute;margin-left:562.7pt;margin-top:0;width:95.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hwIAABoFAAAOAAAAZHJzL2Uyb0RvYy54bWysVE1v2zAMvQ/YfxB0X+0YSdoadYquXYYB&#10;3QfWDjvTshwL04cnKbHbXz+KbtKg2y7DfDBEiXokHx91cTkazXbSB+VsxWcnOWfSCtcou6n4t/v1&#10;mzPOQgTbgHZWVvxBBn65ev3qYuhLWbjO6UZ6hiA2lENf8S7GvsyyIDppIJy4Xlo8bJ03ENH0m6zx&#10;MCC60VmR58tscL7pvRMyBNy9mQ75ivDbVor4uW2DjExXHHOL9Pf0r9M/W11AufHQd0o8pQH/kIUB&#10;ZTHoAeoGIrCtV79BGSW8C66NJ8KZzLWtEpJqwGpm+Ytq7jroJdWC5IT+QFP4f7Di0+6LZ6qpeLHk&#10;zILBHt3LMbK3bmRFomfoQ4ledz36xRG3sc1UauhvnfgRmHXXHdiNvPLeDZ2EBtObpZvZ0dUJJySQ&#10;evjoGgwD2+gIaGy9SdwhGwzRsU0Ph9akVEQKWeTny9MFZwLPZvN8viyoeRmU++u9D/G9dIalRcU9&#10;9p7gYXcbYkoHyr1LihacVs1aaU2G39TX2rMdoE7W9FEFL9y0ZUPFzxfFYmLgrxA5fX+CMCqi4LUy&#10;FT87OEGZeHtnG5JjBKWnNaasbcpPkpSxDuJpixB3XTOwWm/9V8DmLXIE46xRqfKDgTpfzKcgDPQG&#10;B1REz5l38buKHakrEU0EpIGTBwpACGnj1Ge9NdiwiRpCS2VhYluDozVtL1OQfbV7JGLc7XMl66gM&#10;EkfSw6SMONYjwibF1K55QJlglqQFfFxw0Tn/yNmAg1rx8HMLXnKmP1iU2vlsPk+TTcZ8cYq6YP74&#10;pD4+ASsQquKRs2l5Hek1IA76K5TkWpFYnjN5EjIOINXw9FikCT+2yev5SVv9AgAA//8DAFBLAwQU&#10;AAYACAAAACEAMjajAt8AAAAKAQAADwAAAGRycy9kb3ducmV2LnhtbEyPzU7DMBCE70i8g7VI3KiT&#10;QPkJcaoIxAkJQini6sRLYojXIXbb8PZsT3AczWjmm2I1u0HscArWk4J0kYBAar2x1CnYvD6cXYMI&#10;UZPRgydU8IMBVuXxUaFz4/f0grt17ASXUMi1gj7GMZcytD06HRZ+RGLvw09OR5ZTJ82k91zuBpkl&#10;yaV02hIv9HrEux7br/XWKXhuwvvTbK/evqtH3NQ13deV/VTq9GSubkFEnONfGA74jA4lMzV+SyaI&#10;gXWaLS84q4AvHfzzdHkDolGQZWkGsizk/wvlLwAAAP//AwBQSwECLQAUAAYACAAAACEAtoM4kv4A&#10;AADhAQAAEwAAAAAAAAAAAAAAAAAAAAAAW0NvbnRlbnRfVHlwZXNdLnhtbFBLAQItABQABgAIAAAA&#10;IQA4/SH/1gAAAJQBAAALAAAAAAAAAAAAAAAAAC8BAABfcmVscy8ucmVsc1BLAQItABQABgAIAAAA&#10;IQCT//glhwIAABoFAAAOAAAAAAAAAAAAAAAAAC4CAABkcnMvZTJvRG9jLnhtbFBLAQItABQABgAI&#10;AAAAIQAyNqMC3wAAAAoBAAAPAAAAAAAAAAAAAAAAAOEEAABkcnMvZG93bnJldi54bWxQSwUGAAAA&#10;AAQABADzAAAA7QUAAAAA&#10;">
                <v:shadow on="t" color="#b8cce4 [1300]" offset="0,4pt"/>
                <v:textbox style="mso-fit-shape-to-text:t">
                  <w:txbxContent>
                    <w:p w14:paraId="4CB761AB" w14:textId="77777777" w:rsidR="00065F65" w:rsidRPr="006F5FA0" w:rsidRDefault="00065F65" w:rsidP="001A6170">
                      <w:pPr>
                        <w:pStyle w:val="DHHSbody"/>
                      </w:pPr>
                      <w:r w:rsidRPr="006F5FA0">
                        <w:t>Qualitative Data listed above</w:t>
                      </w:r>
                    </w:p>
                  </w:txbxContent>
                </v:textbox>
                <w10:wrap type="square"/>
              </v:shape>
            </w:pict>
          </mc:Fallback>
        </mc:AlternateContent>
      </w:r>
      <w:r w:rsidRPr="00173501">
        <w:rPr>
          <w:b/>
          <w:noProof/>
          <w:color w:val="007B4B"/>
          <w:sz w:val="28"/>
          <w:szCs w:val="28"/>
        </w:rPr>
        <mc:AlternateContent>
          <mc:Choice Requires="wps">
            <w:drawing>
              <wp:anchor distT="45720" distB="45720" distL="114300" distR="114300" simplePos="0" relativeHeight="251665408" behindDoc="0" locked="0" layoutInCell="1" allowOverlap="1" wp14:anchorId="1DC70690" wp14:editId="4F8C3C6E">
                <wp:simplePos x="0" y="0"/>
                <wp:positionH relativeFrom="column">
                  <wp:posOffset>2483769</wp:posOffset>
                </wp:positionH>
                <wp:positionV relativeFrom="paragraph">
                  <wp:posOffset>326</wp:posOffset>
                </wp:positionV>
                <wp:extent cx="1209675" cy="1404620"/>
                <wp:effectExtent l="57150" t="0" r="85725" b="140970"/>
                <wp:wrapSquare wrapText="bothSides"/>
                <wp:docPr id="2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solidFill>
                          <a:srgbClr val="FFFFFF"/>
                        </a:solidFill>
                        <a:ln w="9525">
                          <a:solidFill>
                            <a:srgbClr val="000000"/>
                          </a:solidFill>
                          <a:miter lim="800000"/>
                          <a:headEnd/>
                          <a:tailEnd/>
                        </a:ln>
                        <a:effectLst>
                          <a:outerShdw blurRad="50800" dist="50800" dir="5400000" algn="ctr" rotWithShape="0">
                            <a:schemeClr val="accent1">
                              <a:lumMod val="40000"/>
                              <a:lumOff val="60000"/>
                            </a:schemeClr>
                          </a:outerShdw>
                        </a:effectLst>
                      </wps:spPr>
                      <wps:txbx>
                        <w:txbxContent>
                          <w:p w14:paraId="5546E767" w14:textId="77777777" w:rsidR="00065F65" w:rsidRPr="006F5FA0" w:rsidRDefault="00065F65" w:rsidP="001A6170">
                            <w:pPr>
                              <w:pStyle w:val="DHHSbody"/>
                            </w:pPr>
                            <w:r w:rsidRPr="006F5FA0">
                              <w:t>Quantitative Data listed above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C70690" id="_x0000_s1027" type="#_x0000_t202" alt="&quot;&quot;" style="position:absolute;margin-left:195.55pt;margin-top:.05pt;width:95.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A3hwIAACEFAAAOAAAAZHJzL2Uyb0RvYy54bWysVE1v2zAMvQ/YfxB0X+0ESdoadYquXYYB&#10;3QfWDjvTshwL04cnKbHbXz+KbtygG3YY5oMhStQjH/moi8vBaLaXPihnSz47yTmTVrha2W3Jv91v&#10;3pxxFiLYGrSzsuQPMvDL9etXF31XyLlrna6lZwhiQ9F3JW9j7IosC6KVBsKJ66TFw8Z5AxFNv81q&#10;Dz2iG53N83yV9c7XnXdChoC7N+MhXxN+00gRPzdNkJHpkmNukf6e/lX6Z+sLKLYeulaJpzTgH7Iw&#10;oCwGnaBuIALbefUblFHCu+CaeCKcyVzTKCGJA7KZ5S/Y3LXQSeKCxQndVKbw/2DFp/0Xz1Rd8vmS&#10;MwsGe3Qvh8jeuoHNU3n6LhToddehXxxwG9tMVEN368SPwKy7bsFu5ZX3rm8l1JjeLN3Mjq6OOCGB&#10;VP1HV2MY2EVHQEPjTaodVoMhOrbpYWpNSkWkkPP8fHWKKQo8my3yxWpOzcugOFzvfIjvpTMsLUru&#10;sfcED/vbEFM6UBxcUrTgtKo3Smsy/La61p7tAXWyoY8YvHDTlvUlP19irf4OkdP3JwijIgpeK1Py&#10;s8kJilS3d7YmOUZQelxjytqmSJKkjDyS4XYIcdfWPav0zn8FbN4yRzDOapWYTwbqfLkYgzDQWxxQ&#10;ET1n3sXvKrakrlRoopIGTk4lACGkjWOf9c5gw8bSEFqihYntDI7WuL1KQQ5sD0hU8SlXso5okDiS&#10;HkZlxKEaSIaknCScytUPqBZMliSBbwwuWucfOetxXksefu7AS870B4uKO58tFmnAyVgsT1EezB+f&#10;VMcnYAVClTxyNi6vIz0KVIruCpW5UaSZ50ye9IxzSFSe3ow06Mc2eT2/bOtfAAAA//8DAFBLAwQU&#10;AAYACAAAACEAlZ8did4AAAAIAQAADwAAAGRycy9kb3ducmV2LnhtbEyPwU7DMBBE70j8g7VI3Kjj&#10;VJQ2xKkiECckCKUVVydeEkO8DrHbhr+ve4Lj6o1m3ubryfbsgKM3jiSIWQIMqXHaUCth+/50swTm&#10;gyKtekco4Rc9rIvLi1xl2h3pDQ+b0LJYQj5TEroQhoxz33RolZ+5ASmyTzdaFeI5tlyP6hjLbc/T&#10;JFlwqwzFhU4N+NBh873ZWwmvtf94mczd7qd8xm1V0WNVmi8pr6+m8h5YwCn8heGsH9WhiE6125P2&#10;rJcwXwkRo2fAIr5digWwWkKaijnwIuf/HyhOAAAA//8DAFBLAQItABQABgAIAAAAIQC2gziS/gAA&#10;AOEBAAATAAAAAAAAAAAAAAAAAAAAAABbQ29udGVudF9UeXBlc10ueG1sUEsBAi0AFAAGAAgAAAAh&#10;ADj9If/WAAAAlAEAAAsAAAAAAAAAAAAAAAAALwEAAF9yZWxzLy5yZWxzUEsBAi0AFAAGAAgAAAAh&#10;AGRSMDeHAgAAIQUAAA4AAAAAAAAAAAAAAAAALgIAAGRycy9lMm9Eb2MueG1sUEsBAi0AFAAGAAgA&#10;AAAhAJWfHYneAAAACAEAAA8AAAAAAAAAAAAAAAAA4QQAAGRycy9kb3ducmV2LnhtbFBLBQYAAAAA&#10;BAAEAPMAAADsBQAAAAA=&#10;">
                <v:shadow on="t" color="#b8cce4 [1300]" offset="0,4pt"/>
                <v:textbox style="mso-fit-shape-to-text:t">
                  <w:txbxContent>
                    <w:p w14:paraId="5546E767" w14:textId="77777777" w:rsidR="00065F65" w:rsidRPr="006F5FA0" w:rsidRDefault="00065F65" w:rsidP="001A6170">
                      <w:pPr>
                        <w:pStyle w:val="DHHSbody"/>
                      </w:pPr>
                      <w:r w:rsidRPr="006F5FA0">
                        <w:t>Quantitative Data listed above</w:t>
                      </w:r>
                    </w:p>
                  </w:txbxContent>
                </v:textbox>
                <w10:wrap type="square"/>
              </v:shape>
            </w:pict>
          </mc:Fallback>
        </mc:AlternateContent>
      </w:r>
      <w:r>
        <w:rPr>
          <w:b/>
          <w:noProof/>
          <w:color w:val="007B4B"/>
          <w:sz w:val="28"/>
          <w:szCs w:val="28"/>
        </w:rPr>
        <mc:AlternateContent>
          <mc:Choice Requires="wps">
            <w:drawing>
              <wp:anchor distT="0" distB="0" distL="114300" distR="114300" simplePos="0" relativeHeight="251663360" behindDoc="0" locked="0" layoutInCell="1" allowOverlap="1" wp14:anchorId="533046BD" wp14:editId="3AA1CDBF">
                <wp:simplePos x="0" y="0"/>
                <wp:positionH relativeFrom="column">
                  <wp:posOffset>-361950</wp:posOffset>
                </wp:positionH>
                <wp:positionV relativeFrom="paragraph">
                  <wp:posOffset>177863</wp:posOffset>
                </wp:positionV>
                <wp:extent cx="3409950" cy="3143250"/>
                <wp:effectExtent l="12700" t="25400" r="19050" b="19050"/>
                <wp:wrapNone/>
                <wp:docPr id="27" name="Speech Bubble: Oval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637484">
                          <a:off x="0" y="0"/>
                          <a:ext cx="3409950" cy="3143250"/>
                        </a:xfrm>
                        <a:prstGeom prst="wedgeEllipseCallout">
                          <a:avLst>
                            <a:gd name="adj1" fmla="val 27770"/>
                            <a:gd name="adj2" fmla="val -5128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9B46452" w14:textId="77777777" w:rsidR="00065F65" w:rsidRDefault="00065F65" w:rsidP="000174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46B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7" o:spid="_x0000_s1028" type="#_x0000_t63" alt="&quot;&quot;" style="position:absolute;margin-left:-28.5pt;margin-top:14pt;width:268.5pt;height:247.5pt;rotation:69630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JoxgIAANEFAAAOAAAAZHJzL2Uyb0RvYy54bWysVMFu2zAMvQ/YPwi6t44dp2mDOkWWrsOA&#10;oi2WDj0rMhV7kCVNUuJkXz9KdtxgLXYY5oMhiuQj+UTy+mbfSLID62qtCpqejygBxXVZq01Bvz/f&#10;nV1S4jxTJZNaQUEP4OjN/OOH69bMINOVliVYgiDKzVpT0Mp7M0sSxytomDvXBhQqhbYN8yjaTVJa&#10;1iJ6I5NsNLpIWm1LYzUH5/D2tlPSecQXArh/FMKBJ7KgmJuPfxv/6/BP5tdstrHMVDXv02D/kEXD&#10;aoVBB6hb5hnZ2voNVFNzq50W/pzrJtFC1BxiDVhNOvqjmlXFDMRakBxnBprc/4PlD7snS+qyoNmU&#10;EsUafKOVAeAV+bRdryXMyOOOSYJapKo1boYeK/Nke8nhMdS9F7YhViO/F+NpfplHMrA8so9cHwau&#10;Ye8Jx8txPrq6muCTcNSN03ycoYCgSYcVMI11/gvohoRDQVsoN/BZyto4WDIp9dbHKGx373zkvuwL&#10;YOWPlBLRSHzKLvnp9PjUJzbZqc3ZJM0uL/oMekjM5ZhDwFf6rpYy5Bh46CqPJ3+QEAyk+gYCycTy&#10;sphabGNYSkswjYIyzkH5tFNVrITuejLCr488eEQmImBAFhh4wO4Bwoi8xe4o7O2DK8QpGJxHf0us&#10;cx48YmSt/ODc1Erb9wAkVtVH7uyPJHXUBJb8fr3vGi1Yhpu1Lg/YfLFrsBGc4Xc1vvQ9c/6JWXw7&#10;vMTV4h/xJ6RuC6r7EyWVtr/euw/2OB2opaTFsS6o+7llFiiRXxXOzVWa52EPRCGfTDMU7KlmfapR&#10;22ap8eGwmzC7eAz2Xh6PwurmBTfQIkRFFVMcYxeUe3sUlr5bN7jDOCwW0Qxn3zB/r1aGB/DAc2i0&#10;5/0Ls6Zvd4+T8qCPK4DNYk92HL/aBk+lF1uvRe2D8pXXXsC9EVup33FhMZ3K0ep1E89/AwAA//8D&#10;AFBLAwQUAAYACAAAACEAFNzont8AAAAKAQAADwAAAGRycy9kb3ducmV2LnhtbEyPMU/DMBCFdyT+&#10;g3VILKi1CQ2J0lwqqNShY1sWNic2SdTYjuJrG/49xwTT3ek9vfteuZndIK52in3wCM9LBcL6Jpje&#10;twgfp90iBxFJe6OH4C3Ct42wqe7vSl2YcPMHez1SKzjEx0IjdERjIWVsOut0XIbReta+wuQ08Tm1&#10;0kz6xuFukIlSr9Lp3vOHTo9229nmfLw4hHDIsu2OmuRp9V5/OjL7fH9KER8f5rc1CLIz/ZnhF5/R&#10;oWKmOly8iWJAWKQZdyGEJOfJhlWueKkR0uRFgaxK+b9C9QMAAP//AwBQSwECLQAUAAYACAAAACEA&#10;toM4kv4AAADhAQAAEwAAAAAAAAAAAAAAAAAAAAAAW0NvbnRlbnRfVHlwZXNdLnhtbFBLAQItABQA&#10;BgAIAAAAIQA4/SH/1gAAAJQBAAALAAAAAAAAAAAAAAAAAC8BAABfcmVscy8ucmVsc1BLAQItABQA&#10;BgAIAAAAIQDLMsJoxgIAANEFAAAOAAAAAAAAAAAAAAAAAC4CAABkcnMvZTJvRG9jLnhtbFBLAQIt&#10;ABQABgAIAAAAIQAU3Oie3wAAAAoBAAAPAAAAAAAAAAAAAAAAACAFAABkcnMvZG93bnJldi54bWxQ&#10;SwUGAAAAAAQABADzAAAALAYAAAAA&#10;" adj="16798,-278" filled="f" strokecolor="#243f60 [1604]" strokeweight="2pt">
                <v:textbox>
                  <w:txbxContent>
                    <w:p w14:paraId="29B46452" w14:textId="77777777" w:rsidR="00065F65" w:rsidRDefault="00065F65" w:rsidP="000174AD">
                      <w:pPr>
                        <w:jc w:val="center"/>
                      </w:pPr>
                    </w:p>
                  </w:txbxContent>
                </v:textbox>
              </v:shape>
            </w:pict>
          </mc:Fallback>
        </mc:AlternateContent>
      </w:r>
    </w:p>
    <w:p w14:paraId="60B88569" w14:textId="7DF11726" w:rsidR="000174AD" w:rsidRDefault="000174AD" w:rsidP="000174AD">
      <w:pPr>
        <w:rPr>
          <w:b/>
          <w:color w:val="007B4B"/>
          <w:sz w:val="28"/>
          <w:szCs w:val="28"/>
        </w:rPr>
      </w:pPr>
    </w:p>
    <w:p w14:paraId="21E2F586" w14:textId="34659B8E" w:rsidR="000174AD" w:rsidRDefault="00B82999" w:rsidP="000174AD">
      <w:pPr>
        <w:rPr>
          <w:b/>
          <w:color w:val="007B4B"/>
          <w:sz w:val="28"/>
          <w:szCs w:val="28"/>
        </w:rPr>
      </w:pPr>
      <w:r>
        <w:rPr>
          <w:noProof/>
        </w:rPr>
        <w:drawing>
          <wp:anchor distT="0" distB="0" distL="114300" distR="114300" simplePos="0" relativeHeight="251667456" behindDoc="1" locked="0" layoutInCell="1" allowOverlap="1" wp14:anchorId="4562A477" wp14:editId="7CA74F7B">
            <wp:simplePos x="0" y="0"/>
            <wp:positionH relativeFrom="margin">
              <wp:posOffset>-635</wp:posOffset>
            </wp:positionH>
            <wp:positionV relativeFrom="paragraph">
              <wp:posOffset>117538</wp:posOffset>
            </wp:positionV>
            <wp:extent cx="9778365" cy="4707255"/>
            <wp:effectExtent l="0" t="0" r="635" b="4445"/>
            <wp:wrapNone/>
            <wp:docPr id="1" name="Picture 1" descr="Performance measure - quantative data templat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rformance measure - quantative data template example"/>
                    <pic:cNvPicPr/>
                  </pic:nvPicPr>
                  <pic:blipFill rotWithShape="1">
                    <a:blip r:embed="rId70"/>
                    <a:srcRect l="2988" t="24373" r="23561" b="12187"/>
                    <a:stretch/>
                  </pic:blipFill>
                  <pic:spPr bwMode="auto">
                    <a:xfrm>
                      <a:off x="0" y="0"/>
                      <a:ext cx="9778365" cy="4707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1CA22" w14:textId="6B53A02C" w:rsidR="000174AD" w:rsidRDefault="000174AD" w:rsidP="000174AD">
      <w:pPr>
        <w:rPr>
          <w:b/>
          <w:color w:val="007B4B"/>
          <w:sz w:val="28"/>
          <w:szCs w:val="28"/>
        </w:rPr>
      </w:pPr>
    </w:p>
    <w:p w14:paraId="48E43386" w14:textId="6C4BA12F" w:rsidR="000174AD" w:rsidRDefault="000174AD" w:rsidP="000174AD"/>
    <w:p w14:paraId="759965DB" w14:textId="77777777" w:rsidR="000174AD" w:rsidRDefault="000174AD" w:rsidP="000174AD"/>
    <w:p w14:paraId="18E57C05" w14:textId="77777777" w:rsidR="000174AD" w:rsidRDefault="000174AD" w:rsidP="000174AD"/>
    <w:p w14:paraId="36D3903A" w14:textId="77777777" w:rsidR="000174AD" w:rsidRDefault="000174AD" w:rsidP="000174AD"/>
    <w:p w14:paraId="50FC590D" w14:textId="6F4BD406" w:rsidR="000174AD" w:rsidRDefault="00B82999" w:rsidP="000174AD">
      <w:pPr>
        <w:rPr>
          <w:noProof/>
        </w:rPr>
      </w:pPr>
      <w:r w:rsidRPr="000E688F">
        <w:rPr>
          <w:noProof/>
        </w:rPr>
        <w:drawing>
          <wp:anchor distT="0" distB="0" distL="114300" distR="114300" simplePos="0" relativeHeight="251668480" behindDoc="0" locked="0" layoutInCell="1" allowOverlap="1" wp14:anchorId="069453E8" wp14:editId="55020E71">
            <wp:simplePos x="0" y="0"/>
            <wp:positionH relativeFrom="column">
              <wp:posOffset>3302000</wp:posOffset>
            </wp:positionH>
            <wp:positionV relativeFrom="paragraph">
              <wp:posOffset>3309541</wp:posOffset>
            </wp:positionV>
            <wp:extent cx="4819650" cy="619125"/>
            <wp:effectExtent l="0" t="0" r="0" b="9525"/>
            <wp:wrapNone/>
            <wp:docPr id="30" name="Picture 30" descr="Peopl employed in the HRAR Extension Program - detail of quantative data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Peopl employed in the HRAR Extension Program - detail of quantative data templat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8196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2F1C7154" wp14:editId="7468FD0F">
                <wp:simplePos x="0" y="0"/>
                <wp:positionH relativeFrom="column">
                  <wp:posOffset>2903220</wp:posOffset>
                </wp:positionH>
                <wp:positionV relativeFrom="paragraph">
                  <wp:posOffset>3170986</wp:posOffset>
                </wp:positionV>
                <wp:extent cx="5753100" cy="927100"/>
                <wp:effectExtent l="749300" t="279400" r="12700" b="25400"/>
                <wp:wrapNone/>
                <wp:docPr id="19" name="Speech Bubble: Oval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3100" cy="927100"/>
                        </a:xfrm>
                        <a:prstGeom prst="wedgeEllipseCallout">
                          <a:avLst>
                            <a:gd name="adj1" fmla="val -62663"/>
                            <a:gd name="adj2" fmla="val -78392"/>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90F397" w14:textId="77777777" w:rsidR="00065F65" w:rsidRDefault="00065F65" w:rsidP="000174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1C7154" id="Speech Bubble: Oval 19" o:spid="_x0000_s1029" type="#_x0000_t63" alt="&quot;&quot;" style="position:absolute;margin-left:228.6pt;margin-top:249.7pt;width:453pt;height:7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9tvQIAAMQFAAAOAAAAZHJzL2Uyb0RvYy54bWysVN9v2jAQfp+0/8Hye5uQFiiooWJ0nSZV&#10;bTU69dk4Z5LJsT3bEOhfv7MTAlurPUzjIdi+u+/uvvtxfbOrJdmCdZVWOR2cp5SA4rqo1Dqn35/v&#10;zq4ocZ6pgkmtIKd7cPRm9vHDdWOmkOlSywIsQRDlpo3Jaem9mSaJ4yXUzJ1rAwqFQtuaebzadVJY&#10;1iB6LZMsTUdJo21hrObgHL7etkI6i/hCAPePQjjwROYUY/Pxa+N3Fb7J7JpN15aZsuJdGOwfoqhZ&#10;pdBpD3XLPCMbW72BqitutdPCn3NdJ1qIikPMAbMZpH9ksyyZgZgLkuNMT5P7f7D8YftkSVVg7SaU&#10;KFZjjZYGgJfk02a1kjAlj1smCUqRqsa4KVoszZPtbg6PIe+dsHX4x4zILtK77+mFnSccH4fj4cUg&#10;xSpwlE2ycTgjTHK0Ntb5L6BrEg45baBYw2cpK+NgwaTUGx9JZtt75yPbRRcyK34MKBG1xOKFcM9G&#10;2Wh00VX3RCn7TWl8dTHJuhA6TAzmEERwoPRdJWUIMqTeJhtPfi8hKEj1DQTyh+llMbbYubCQlmAc&#10;OWWcg/KDVlSyAtrnYYq/znNvEamIgAFZoOMeuwMIU/EWu+Ww0w+mEBu/N07/Flhr3FtEz1r53riu&#10;lLbvAUjMqvPc6h9IaqkJLPndahd7K1YivKx0scd+s7odRGf4XYWlvmfOPzGLxcPuwG3iH/EjpG5y&#10;qrsTJaW2r++9B30cCJRS0uAk59T93DALlMivCkdlMri8DKMfL5fDcYYXeypZnUrUpl5oLBy2E0YX&#10;j0Hfy8NRWF2/4NKZB68oYoqj75xybw+XhW83DK4tDvN5VMNxN8zfq6XhATzwHBrteffCrOn63eOk&#10;POjD1LNp7MmW46NusFR6vvFaVD4Ij7x2F1wVsZW6tRZ20ek9ah2X7+wXAAAA//8DAFBLAwQUAAYA&#10;CAAAACEAQFExeeIAAAAMAQAADwAAAGRycy9kb3ducmV2LnhtbEyPTU+EMBCG7yb+h2ZMvLnFhcUF&#10;KRtiYqIHD4IxHrt0BNx2irTs4r+3e9LbfDx555litxjNjji5wZKA21UEDKm1aqBOwFvzeLMF5rwk&#10;JbUlFPCDDnbl5UUhc2VP9IrH2ncshJDLpYDe+zHn3LU9GulWdkQKu087GelDO3VcTfIUwo3m6yhK&#10;uZEDhQu9HPGhx/ZQz0bA9PGuqyY6+Caev+vs68lX2+cXIa6vluoemMfF/8Fw1g/qUAanvZ1JOaYF&#10;JJu7dUBDkWUJsDMRp3EY7QWkySYBXhb8/xPlLwAAAP//AwBQSwECLQAUAAYACAAAACEAtoM4kv4A&#10;AADhAQAAEwAAAAAAAAAAAAAAAAAAAAAAW0NvbnRlbnRfVHlwZXNdLnhtbFBLAQItABQABgAIAAAA&#10;IQA4/SH/1gAAAJQBAAALAAAAAAAAAAAAAAAAAC8BAABfcmVscy8ucmVsc1BLAQItABQABgAIAAAA&#10;IQDc6r9tvQIAAMQFAAAOAAAAAAAAAAAAAAAAAC4CAABkcnMvZTJvRG9jLnhtbFBLAQItABQABgAI&#10;AAAAIQBAUTF54gAAAAwBAAAPAAAAAAAAAAAAAAAAABcFAABkcnMvZG93bnJldi54bWxQSwUGAAAA&#10;AAQABADzAAAAJgYAAAAA&#10;" adj="-2735,-6133" filled="f" strokecolor="#243f60 [1604]" strokeweight="2pt">
                <v:textbox>
                  <w:txbxContent>
                    <w:p w14:paraId="1690F397" w14:textId="77777777" w:rsidR="00065F65" w:rsidRDefault="00065F65" w:rsidP="000174AD">
                      <w:pPr>
                        <w:jc w:val="cente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A6B7598" wp14:editId="7A0C5AA2">
                <wp:simplePos x="0" y="0"/>
                <wp:positionH relativeFrom="column">
                  <wp:posOffset>-189975</wp:posOffset>
                </wp:positionH>
                <wp:positionV relativeFrom="paragraph">
                  <wp:posOffset>1399650</wp:posOffset>
                </wp:positionV>
                <wp:extent cx="3171825" cy="1377950"/>
                <wp:effectExtent l="12700" t="3187700" r="4473575" b="19050"/>
                <wp:wrapNone/>
                <wp:docPr id="28" name="Speech Bubble: Oval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71825" cy="1377950"/>
                        </a:xfrm>
                        <a:prstGeom prst="wedgeEllipseCallout">
                          <a:avLst>
                            <a:gd name="adj1" fmla="val 190163"/>
                            <a:gd name="adj2" fmla="val -278702"/>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0C99E8" w14:textId="77777777" w:rsidR="00065F65" w:rsidRPr="00B4296F" w:rsidRDefault="00065F65" w:rsidP="000174AD">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7598" id="Speech Bubble: Oval 28" o:spid="_x0000_s1030" type="#_x0000_t63" alt="&quot;&quot;" style="position:absolute;margin-left:-14.95pt;margin-top:110.2pt;width:249.75pt;height:1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KjvQIAAMYFAAAOAAAAZHJzL2Uyb0RvYy54bWysVEtvGjEQvlfqf7B8T/YRCAnKElHSVJWi&#10;JCqpcjbeMbuV13Ztw0J/fcfeZUFN1ENVDsuM5/3N4+Z210iyBetqrQqanaeUgOK6rNW6oN9f7s+u&#10;KHGeqZJJraCge3D0dvbxw01rppDrSssSLEEnyk1bU9DKezNNEscraJg71wYUCoW2DfPI2nVSWtai&#10;90YmeZpeJq22pbGag3P4etcJ6Sz6FwK4fxLCgSeyoJibj18bv6vwTWY3bLq2zFQ179Ng/5BFw2qF&#10;QQdXd8wzsrH1G1dNza12WvhzrptEC1FziDVgNVn6RzXLihmItSA4zgwwuf/nlj9uny2py4Lm2CnF&#10;GuzR0gDwinzarFYSpuRpyyRBKULVGjdFi6V5tj3nkAx174Rtwj9WRHYR3v0AL+w84fh4kU2yq3xM&#10;CUdZdjGZXI9jA5KjubHOfwHdkEAUtIVyDZ+lrI2DBZNSb3xEmW0fnI9wl33OrPyRUSIaid0L+WbX&#10;aXZ50bf3RCk/VTrLJ1eTNA9amEPvFKlDFiGC0ve1lEEjFN+VGym/lxAUpPoGAhHEAvOYXJxdWEhL&#10;MJGCMs5B+awTVayE7nmc4q+PPFjEPKLD4Flg4MF37yDsxVvfXQG9fjCFOPqDcfq3xDrjwSJG1soP&#10;xk2ttH3PgcSq+sid/gGkDpqAkt+tdnG6RkEzvKx0uceJs7pbRWf4fY29fmDOPzOL3cMtxXvin/Aj&#10;pG4LqnuKkkrbX++9B31cCZRS0uIuF9T93DALlMivCpflOhuNwvJHZjSe5MjYU8nqVKI2zUJj43Ce&#10;MLtIBn0vD6SwunnFszMPUVHEFMfYBeXeHpiF724MHi4O83lUw4U3zD+opeHBecA5DNrL7pVZ0w+8&#10;x1151Ie972eyw/ioGyyVnm+8FrUPwiOuPYPHIo5Sf9jCNTrlo9bx/M5+AwAA//8DAFBLAwQUAAYA&#10;CAAAACEAruy/E+EAAAALAQAADwAAAGRycy9kb3ducmV2LnhtbEyPTU+EMBCG7yb+h2ZMvO22IkFB&#10;ymbVeDIeRJPd40ArkKUt0vKhv97xpLeZzJN3njffraZnsx5956yEq60Apm3tVGcbCe9vT5tbYD6g&#10;Vdg7qyV8aQ+74vwsx0y5xb7quQwNoxDrM5TQhjBknPu61Qb91g3a0u3DjQYDrWPD1YgLhZueR0Ik&#10;3GBn6UOLg35odX0qJyNh/4mn58NSvYjucZq/qxmP92Ui5eXFur8DFvQa/mD41Sd1KMipcpNVnvUS&#10;NlGaEiohikQMjIg4SRNgFQ3XNzHwIuf/OxQ/AAAA//8DAFBLAQItABQABgAIAAAAIQC2gziS/gAA&#10;AOEBAAATAAAAAAAAAAAAAAAAAAAAAABbQ29udGVudF9UeXBlc10ueG1sUEsBAi0AFAAGAAgAAAAh&#10;ADj9If/WAAAAlAEAAAsAAAAAAAAAAAAAAAAALwEAAF9yZWxzLy5yZWxzUEsBAi0AFAAGAAgAAAAh&#10;APMZ4qO9AgAAxgUAAA4AAAAAAAAAAAAAAAAALgIAAGRycy9lMm9Eb2MueG1sUEsBAi0AFAAGAAgA&#10;AAAhAK7svxPhAAAACwEAAA8AAAAAAAAAAAAAAAAAFwUAAGRycy9kb3ducmV2LnhtbFBLBQYAAAAA&#10;BAAEAPMAAAAlBgAAAAA=&#10;" adj="51875,-49400" filled="f" strokecolor="#243f60 [1604]" strokeweight="2pt">
                <v:textbox>
                  <w:txbxContent>
                    <w:p w14:paraId="330C99E8" w14:textId="77777777" w:rsidR="00065F65" w:rsidRPr="00B4296F" w:rsidRDefault="00065F65" w:rsidP="000174AD">
                      <w:pPr>
                        <w:jc w:val="center"/>
                        <w:rPr>
                          <w:color w:val="FFFFFF" w:themeColor="background1"/>
                          <w14:textFill>
                            <w14:noFill/>
                          </w14:textFill>
                        </w:rPr>
                      </w:pPr>
                    </w:p>
                  </w:txbxContent>
                </v:textbox>
              </v:shape>
            </w:pict>
          </mc:Fallback>
        </mc:AlternateContent>
      </w:r>
      <w:r w:rsidR="000174AD">
        <w:rPr>
          <w:noProof/>
        </w:rPr>
        <w:br w:type="page"/>
      </w:r>
    </w:p>
    <w:tbl>
      <w:tblPr>
        <w:tblW w:w="153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Caption w:val="Early Intervention and Outbreak Response Reporting template"/>
      </w:tblPr>
      <w:tblGrid>
        <w:gridCol w:w="6900"/>
        <w:gridCol w:w="2745"/>
        <w:gridCol w:w="2040"/>
        <w:gridCol w:w="3624"/>
      </w:tblGrid>
      <w:tr w:rsidR="001A6170" w:rsidRPr="00EA043E" w14:paraId="41035775" w14:textId="07611870" w:rsidTr="00717ED8">
        <w:trPr>
          <w:trHeight w:val="690"/>
        </w:trPr>
        <w:tc>
          <w:tcPr>
            <w:tcW w:w="6900" w:type="dxa"/>
            <w:shd w:val="clear" w:color="auto" w:fill="auto"/>
            <w:noWrap/>
            <w:vAlign w:val="bottom"/>
            <w:hideMark/>
          </w:tcPr>
          <w:p w14:paraId="09ECFD1F" w14:textId="77777777" w:rsidR="001A6170" w:rsidRPr="00EA043E" w:rsidRDefault="001A6170" w:rsidP="00411D5F">
            <w:pPr>
              <w:pStyle w:val="DHHStablecaption"/>
              <w:spacing w:before="80" w:after="40" w:line="240" w:lineRule="auto"/>
              <w:rPr>
                <w:rFonts w:ascii="Times New Roman" w:hAnsi="Times New Roman"/>
                <w:sz w:val="24"/>
                <w:szCs w:val="24"/>
                <w:lang w:eastAsia="en-AU"/>
              </w:rPr>
            </w:pPr>
            <w:r w:rsidRPr="009F400B">
              <w:lastRenderedPageBreak/>
              <w:t>Early Intervention and Outbreak Response Reporting</w:t>
            </w:r>
          </w:p>
        </w:tc>
        <w:tc>
          <w:tcPr>
            <w:tcW w:w="2745" w:type="dxa"/>
            <w:shd w:val="clear" w:color="auto" w:fill="auto"/>
            <w:vAlign w:val="bottom"/>
            <w:hideMark/>
          </w:tcPr>
          <w:p w14:paraId="63B73958" w14:textId="77777777" w:rsidR="001A6170" w:rsidRPr="00411D5F" w:rsidRDefault="001A6170" w:rsidP="005325AE">
            <w:pPr>
              <w:pStyle w:val="DHHStablecolhead"/>
            </w:pPr>
            <w:r w:rsidRPr="00411D5F">
              <w:t xml:space="preserve">Exposure site and close contact intervention </w:t>
            </w:r>
          </w:p>
        </w:tc>
        <w:tc>
          <w:tcPr>
            <w:tcW w:w="2040" w:type="dxa"/>
            <w:shd w:val="clear" w:color="auto" w:fill="auto"/>
            <w:noWrap/>
            <w:vAlign w:val="bottom"/>
            <w:hideMark/>
          </w:tcPr>
          <w:p w14:paraId="071FCFD2" w14:textId="77777777" w:rsidR="001A6170" w:rsidRPr="00411D5F" w:rsidRDefault="001A6170" w:rsidP="005325AE">
            <w:pPr>
              <w:pStyle w:val="DHHStablecolhead"/>
            </w:pPr>
            <w:r w:rsidRPr="00411D5F">
              <w:t>Outbreak Response</w:t>
            </w:r>
          </w:p>
        </w:tc>
        <w:tc>
          <w:tcPr>
            <w:tcW w:w="3624" w:type="dxa"/>
          </w:tcPr>
          <w:p w14:paraId="32F33537" w14:textId="77777777" w:rsidR="001A6170" w:rsidRPr="001A6170" w:rsidRDefault="001A6170" w:rsidP="005325AE">
            <w:pPr>
              <w:pStyle w:val="DHHStablecolhead"/>
            </w:pPr>
          </w:p>
        </w:tc>
      </w:tr>
      <w:tr w:rsidR="001A6170" w:rsidRPr="00EA043E" w14:paraId="32F4B7AB" w14:textId="374D3F1F" w:rsidTr="00717ED8">
        <w:trPr>
          <w:trHeight w:val="544"/>
        </w:trPr>
        <w:tc>
          <w:tcPr>
            <w:tcW w:w="6900" w:type="dxa"/>
            <w:shd w:val="clear" w:color="auto" w:fill="auto"/>
            <w:vAlign w:val="bottom"/>
            <w:hideMark/>
          </w:tcPr>
          <w:p w14:paraId="383EF267" w14:textId="0BA87B9C" w:rsidR="001A6170" w:rsidRPr="001A6170" w:rsidRDefault="00384990" w:rsidP="00411D5F">
            <w:pPr>
              <w:pStyle w:val="DHHStabletext9pt"/>
              <w:spacing w:after="40"/>
              <w:rPr>
                <w:rStyle w:val="Strong"/>
              </w:rPr>
            </w:pPr>
            <w:r w:rsidRPr="001A6170">
              <w:rPr>
                <w:rStyle w:val="Strong"/>
              </w:rPr>
              <w:t>Engagement activity (following assessment of outbreak and resident/community needs)</w:t>
            </w:r>
          </w:p>
        </w:tc>
        <w:tc>
          <w:tcPr>
            <w:tcW w:w="2745" w:type="dxa"/>
            <w:shd w:val="clear" w:color="auto" w:fill="auto"/>
            <w:noWrap/>
            <w:vAlign w:val="bottom"/>
            <w:hideMark/>
          </w:tcPr>
          <w:p w14:paraId="61E63D85" w14:textId="77777777" w:rsidR="001A6170" w:rsidRPr="00411D5F" w:rsidRDefault="001A6170" w:rsidP="00411D5F">
            <w:pPr>
              <w:pStyle w:val="DHHStabletext9pt"/>
              <w:spacing w:after="40"/>
              <w:rPr>
                <w:rStyle w:val="Strong"/>
              </w:rPr>
            </w:pPr>
            <w:r w:rsidRPr="00411D5F">
              <w:rPr>
                <w:rStyle w:val="Strong"/>
              </w:rPr>
              <w:t>Number</w:t>
            </w:r>
          </w:p>
        </w:tc>
        <w:tc>
          <w:tcPr>
            <w:tcW w:w="2040" w:type="dxa"/>
            <w:shd w:val="clear" w:color="auto" w:fill="auto"/>
            <w:noWrap/>
            <w:vAlign w:val="bottom"/>
            <w:hideMark/>
          </w:tcPr>
          <w:p w14:paraId="58D30AEE" w14:textId="77777777" w:rsidR="001A6170" w:rsidRPr="00411D5F" w:rsidRDefault="001A6170" w:rsidP="00411D5F">
            <w:pPr>
              <w:pStyle w:val="DHHStabletext9pt"/>
              <w:spacing w:after="40"/>
              <w:rPr>
                <w:rStyle w:val="Strong"/>
              </w:rPr>
            </w:pPr>
            <w:r w:rsidRPr="00411D5F">
              <w:rPr>
                <w:rStyle w:val="Strong"/>
              </w:rPr>
              <w:t>Number</w:t>
            </w:r>
          </w:p>
        </w:tc>
        <w:tc>
          <w:tcPr>
            <w:tcW w:w="3624" w:type="dxa"/>
            <w:shd w:val="clear" w:color="auto" w:fill="auto"/>
            <w:vAlign w:val="bottom"/>
          </w:tcPr>
          <w:p w14:paraId="297B4E52" w14:textId="2A4C4E21" w:rsidR="001A6170" w:rsidRPr="00411D5F" w:rsidRDefault="001A6170" w:rsidP="00411D5F">
            <w:pPr>
              <w:pStyle w:val="DHHStabletext9pt"/>
              <w:spacing w:after="40"/>
              <w:rPr>
                <w:rStyle w:val="Strong"/>
              </w:rPr>
            </w:pPr>
            <w:r w:rsidRPr="00411D5F">
              <w:rPr>
                <w:rStyle w:val="Strong"/>
              </w:rPr>
              <w:t>Comments (if required)</w:t>
            </w:r>
          </w:p>
        </w:tc>
      </w:tr>
      <w:tr w:rsidR="001A6170" w:rsidRPr="00EA043E" w14:paraId="03001521" w14:textId="7A787342" w:rsidTr="00717ED8">
        <w:trPr>
          <w:trHeight w:val="109"/>
        </w:trPr>
        <w:tc>
          <w:tcPr>
            <w:tcW w:w="6900" w:type="dxa"/>
            <w:shd w:val="clear" w:color="auto" w:fill="auto"/>
            <w:noWrap/>
            <w:vAlign w:val="bottom"/>
            <w:hideMark/>
          </w:tcPr>
          <w:p w14:paraId="7136F721" w14:textId="77777777" w:rsidR="001A6170" w:rsidRPr="00EA043E" w:rsidRDefault="001A6170" w:rsidP="00411D5F">
            <w:pPr>
              <w:pStyle w:val="DHHStabletext9pt"/>
              <w:spacing w:after="40"/>
              <w:rPr>
                <w:color w:val="000000"/>
              </w:rPr>
            </w:pPr>
            <w:r w:rsidRPr="00EA043E">
              <w:rPr>
                <w:color w:val="000000"/>
              </w:rPr>
              <w:t>Number of dwellings/accommodation settings contacted</w:t>
            </w:r>
          </w:p>
        </w:tc>
        <w:tc>
          <w:tcPr>
            <w:tcW w:w="2745" w:type="dxa"/>
            <w:shd w:val="clear" w:color="auto" w:fill="auto"/>
            <w:noWrap/>
            <w:hideMark/>
          </w:tcPr>
          <w:p w14:paraId="64B3AF49" w14:textId="66332470" w:rsidR="001A6170" w:rsidRPr="00EA043E" w:rsidRDefault="001A6170" w:rsidP="00411D5F">
            <w:pPr>
              <w:pStyle w:val="DHHStabletext"/>
              <w:spacing w:after="40"/>
              <w:rPr>
                <w:lang w:eastAsia="en-AU"/>
              </w:rPr>
            </w:pPr>
          </w:p>
        </w:tc>
        <w:tc>
          <w:tcPr>
            <w:tcW w:w="2040" w:type="dxa"/>
            <w:shd w:val="clear" w:color="auto" w:fill="auto"/>
            <w:noWrap/>
            <w:hideMark/>
          </w:tcPr>
          <w:p w14:paraId="5C587EED" w14:textId="5309DD30" w:rsidR="001A6170" w:rsidRPr="00EA043E" w:rsidRDefault="001A6170" w:rsidP="00411D5F">
            <w:pPr>
              <w:pStyle w:val="DHHStabletext"/>
              <w:spacing w:after="40"/>
              <w:rPr>
                <w:lang w:eastAsia="en-AU"/>
              </w:rPr>
            </w:pPr>
          </w:p>
        </w:tc>
        <w:tc>
          <w:tcPr>
            <w:tcW w:w="3624" w:type="dxa"/>
            <w:shd w:val="clear" w:color="auto" w:fill="auto"/>
          </w:tcPr>
          <w:p w14:paraId="79EA9226" w14:textId="77777777" w:rsidR="001A6170" w:rsidRPr="00EA043E" w:rsidRDefault="001A6170" w:rsidP="00411D5F">
            <w:pPr>
              <w:pStyle w:val="DHHStabletext"/>
              <w:spacing w:after="40"/>
              <w:rPr>
                <w:lang w:eastAsia="en-AU"/>
              </w:rPr>
            </w:pPr>
          </w:p>
        </w:tc>
      </w:tr>
      <w:tr w:rsidR="001A6170" w:rsidRPr="00EA043E" w14:paraId="35DED3F0" w14:textId="36F5C0A7" w:rsidTr="00717ED8">
        <w:trPr>
          <w:trHeight w:val="440"/>
        </w:trPr>
        <w:tc>
          <w:tcPr>
            <w:tcW w:w="6900" w:type="dxa"/>
            <w:shd w:val="clear" w:color="auto" w:fill="auto"/>
            <w:hideMark/>
          </w:tcPr>
          <w:p w14:paraId="3537493D" w14:textId="77777777" w:rsidR="001A6170" w:rsidRPr="00EA043E" w:rsidRDefault="001A6170" w:rsidP="00411D5F">
            <w:pPr>
              <w:pStyle w:val="DHHStabletext9pt"/>
              <w:spacing w:after="40"/>
            </w:pPr>
            <w:r w:rsidRPr="00EA043E">
              <w:t xml:space="preserve">Number of communication engagement strategies, eg social media, flyers, posters, handouts </w:t>
            </w:r>
          </w:p>
        </w:tc>
        <w:tc>
          <w:tcPr>
            <w:tcW w:w="2745" w:type="dxa"/>
            <w:shd w:val="clear" w:color="auto" w:fill="auto"/>
            <w:noWrap/>
            <w:hideMark/>
          </w:tcPr>
          <w:p w14:paraId="2501701F" w14:textId="0F0A180A" w:rsidR="001A6170" w:rsidRPr="00EA043E" w:rsidRDefault="001A6170" w:rsidP="00411D5F">
            <w:pPr>
              <w:pStyle w:val="DHHStabletext"/>
              <w:spacing w:after="40"/>
              <w:rPr>
                <w:lang w:eastAsia="en-AU"/>
              </w:rPr>
            </w:pPr>
          </w:p>
        </w:tc>
        <w:tc>
          <w:tcPr>
            <w:tcW w:w="2040" w:type="dxa"/>
            <w:shd w:val="clear" w:color="auto" w:fill="auto"/>
            <w:noWrap/>
            <w:hideMark/>
          </w:tcPr>
          <w:p w14:paraId="43372044"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0CECA275" w14:textId="77777777" w:rsidR="001A6170" w:rsidRPr="00EA043E" w:rsidRDefault="001A6170" w:rsidP="00411D5F">
            <w:pPr>
              <w:pStyle w:val="DHHStabletext"/>
              <w:spacing w:after="40"/>
              <w:rPr>
                <w:lang w:eastAsia="en-AU"/>
              </w:rPr>
            </w:pPr>
          </w:p>
        </w:tc>
      </w:tr>
      <w:tr w:rsidR="001A6170" w:rsidRPr="00EA043E" w14:paraId="0DE051C4" w14:textId="6D212989" w:rsidTr="00717ED8">
        <w:trPr>
          <w:trHeight w:val="366"/>
        </w:trPr>
        <w:tc>
          <w:tcPr>
            <w:tcW w:w="6900" w:type="dxa"/>
            <w:shd w:val="clear" w:color="auto" w:fill="auto"/>
            <w:noWrap/>
            <w:vAlign w:val="bottom"/>
            <w:hideMark/>
          </w:tcPr>
          <w:p w14:paraId="40756EF6" w14:textId="57D77F5C" w:rsidR="001A6170" w:rsidRPr="001A6170" w:rsidRDefault="00384990" w:rsidP="00411D5F">
            <w:pPr>
              <w:pStyle w:val="DHHStabletext9pt"/>
              <w:spacing w:after="40"/>
              <w:rPr>
                <w:rStyle w:val="Strong"/>
              </w:rPr>
            </w:pPr>
            <w:r w:rsidRPr="001A6170">
              <w:rPr>
                <w:rStyle w:val="Strong"/>
              </w:rPr>
              <w:t>Resources distributed and received</w:t>
            </w:r>
          </w:p>
        </w:tc>
        <w:tc>
          <w:tcPr>
            <w:tcW w:w="2745" w:type="dxa"/>
            <w:shd w:val="clear" w:color="auto" w:fill="auto"/>
            <w:noWrap/>
            <w:hideMark/>
          </w:tcPr>
          <w:p w14:paraId="742EA5DC" w14:textId="1148EF02" w:rsidR="001A6170" w:rsidRPr="00EA043E" w:rsidRDefault="001A6170" w:rsidP="00411D5F">
            <w:pPr>
              <w:pStyle w:val="DHHStabletext"/>
              <w:spacing w:after="40"/>
              <w:rPr>
                <w:lang w:eastAsia="en-AU"/>
              </w:rPr>
            </w:pPr>
          </w:p>
        </w:tc>
        <w:tc>
          <w:tcPr>
            <w:tcW w:w="2040" w:type="dxa"/>
            <w:shd w:val="clear" w:color="auto" w:fill="auto"/>
            <w:noWrap/>
            <w:hideMark/>
          </w:tcPr>
          <w:p w14:paraId="3C9DE89A"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2C434E1A" w14:textId="77777777" w:rsidR="001A6170" w:rsidRPr="00EA043E" w:rsidRDefault="001A6170" w:rsidP="00411D5F">
            <w:pPr>
              <w:pStyle w:val="DHHStabletext"/>
              <w:spacing w:after="40"/>
              <w:rPr>
                <w:lang w:eastAsia="en-AU"/>
              </w:rPr>
            </w:pPr>
          </w:p>
        </w:tc>
      </w:tr>
      <w:tr w:rsidR="001A6170" w:rsidRPr="00EA043E" w14:paraId="30677292" w14:textId="2D18137D" w:rsidTr="00717ED8">
        <w:trPr>
          <w:trHeight w:val="583"/>
        </w:trPr>
        <w:tc>
          <w:tcPr>
            <w:tcW w:w="6900" w:type="dxa"/>
            <w:shd w:val="clear" w:color="auto" w:fill="auto"/>
            <w:vAlign w:val="bottom"/>
            <w:hideMark/>
          </w:tcPr>
          <w:p w14:paraId="71AD97CE" w14:textId="77777777" w:rsidR="001A6170" w:rsidRPr="00EA043E" w:rsidRDefault="001A6170" w:rsidP="00411D5F">
            <w:pPr>
              <w:pStyle w:val="DHHStabletext9pt"/>
              <w:spacing w:after="40"/>
              <w:rPr>
                <w:color w:val="000000"/>
              </w:rPr>
            </w:pPr>
            <w:r w:rsidRPr="00EA043E">
              <w:rPr>
                <w:color w:val="000000"/>
              </w:rPr>
              <w:t>Number of dwellings / accommodation settings / (residents - concierge only) provided with resource material/signage (including culturally appropriate)</w:t>
            </w:r>
          </w:p>
        </w:tc>
        <w:tc>
          <w:tcPr>
            <w:tcW w:w="2745" w:type="dxa"/>
            <w:shd w:val="clear" w:color="auto" w:fill="auto"/>
            <w:noWrap/>
            <w:hideMark/>
          </w:tcPr>
          <w:p w14:paraId="2BA59E3E" w14:textId="3605DC1F" w:rsidR="001A6170" w:rsidRPr="00EA043E" w:rsidRDefault="001A6170" w:rsidP="00411D5F">
            <w:pPr>
              <w:pStyle w:val="DHHStabletext"/>
              <w:spacing w:after="40"/>
              <w:rPr>
                <w:lang w:eastAsia="en-AU"/>
              </w:rPr>
            </w:pPr>
          </w:p>
        </w:tc>
        <w:tc>
          <w:tcPr>
            <w:tcW w:w="2040" w:type="dxa"/>
            <w:shd w:val="clear" w:color="auto" w:fill="auto"/>
            <w:noWrap/>
            <w:hideMark/>
          </w:tcPr>
          <w:p w14:paraId="0BB4734A"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0FB0664C" w14:textId="77777777" w:rsidR="001A6170" w:rsidRPr="00EA043E" w:rsidRDefault="001A6170" w:rsidP="00411D5F">
            <w:pPr>
              <w:pStyle w:val="DHHStabletext"/>
              <w:spacing w:after="40"/>
              <w:rPr>
                <w:lang w:eastAsia="en-AU"/>
              </w:rPr>
            </w:pPr>
          </w:p>
        </w:tc>
      </w:tr>
      <w:tr w:rsidR="001A6170" w:rsidRPr="00EA043E" w14:paraId="4B162DB8" w14:textId="7D513AD0" w:rsidTr="00717ED8">
        <w:trPr>
          <w:trHeight w:val="580"/>
        </w:trPr>
        <w:tc>
          <w:tcPr>
            <w:tcW w:w="6900" w:type="dxa"/>
            <w:shd w:val="clear" w:color="auto" w:fill="auto"/>
            <w:vAlign w:val="bottom"/>
            <w:hideMark/>
          </w:tcPr>
          <w:p w14:paraId="0BA318F8" w14:textId="77777777" w:rsidR="001A6170" w:rsidRPr="00EA043E" w:rsidRDefault="001A6170" w:rsidP="00411D5F">
            <w:pPr>
              <w:pStyle w:val="DHHStabletext9pt"/>
              <w:spacing w:after="40"/>
            </w:pPr>
            <w:r w:rsidRPr="00EA043E">
              <w:t>Number of dwellings / accommodation settings / (residents - concierge only) provided with hand sanitisers</w:t>
            </w:r>
          </w:p>
        </w:tc>
        <w:tc>
          <w:tcPr>
            <w:tcW w:w="2745" w:type="dxa"/>
            <w:shd w:val="clear" w:color="auto" w:fill="auto"/>
            <w:noWrap/>
            <w:hideMark/>
          </w:tcPr>
          <w:p w14:paraId="0B0191FA" w14:textId="19DA542D" w:rsidR="001A6170" w:rsidRPr="00EA043E" w:rsidRDefault="001A6170" w:rsidP="00411D5F">
            <w:pPr>
              <w:pStyle w:val="DHHStabletext"/>
              <w:spacing w:after="40"/>
              <w:rPr>
                <w:lang w:eastAsia="en-AU"/>
              </w:rPr>
            </w:pPr>
          </w:p>
        </w:tc>
        <w:tc>
          <w:tcPr>
            <w:tcW w:w="2040" w:type="dxa"/>
            <w:shd w:val="clear" w:color="auto" w:fill="auto"/>
            <w:noWrap/>
            <w:hideMark/>
          </w:tcPr>
          <w:p w14:paraId="5649D9EB"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304A2929" w14:textId="77777777" w:rsidR="001A6170" w:rsidRPr="00EA043E" w:rsidRDefault="001A6170" w:rsidP="00411D5F">
            <w:pPr>
              <w:pStyle w:val="DHHStabletext"/>
              <w:spacing w:after="40"/>
              <w:rPr>
                <w:lang w:eastAsia="en-AU"/>
              </w:rPr>
            </w:pPr>
          </w:p>
        </w:tc>
      </w:tr>
      <w:tr w:rsidR="001A6170" w:rsidRPr="00EA043E" w14:paraId="4C93EEF3" w14:textId="2819DD71" w:rsidTr="00717ED8">
        <w:trPr>
          <w:trHeight w:val="580"/>
        </w:trPr>
        <w:tc>
          <w:tcPr>
            <w:tcW w:w="6900" w:type="dxa"/>
            <w:shd w:val="clear" w:color="auto" w:fill="auto"/>
            <w:vAlign w:val="bottom"/>
            <w:hideMark/>
          </w:tcPr>
          <w:p w14:paraId="2CE4C72F" w14:textId="77777777" w:rsidR="001A6170" w:rsidRPr="00EA043E" w:rsidRDefault="001A6170" w:rsidP="00411D5F">
            <w:pPr>
              <w:pStyle w:val="DHHStabletext9pt"/>
              <w:spacing w:after="40"/>
            </w:pPr>
            <w:r w:rsidRPr="00EA043E">
              <w:t>Number of dwellings / accommodation settings / (residents - concierge only) provided with face masks</w:t>
            </w:r>
          </w:p>
        </w:tc>
        <w:tc>
          <w:tcPr>
            <w:tcW w:w="2745" w:type="dxa"/>
            <w:shd w:val="clear" w:color="auto" w:fill="auto"/>
            <w:noWrap/>
            <w:hideMark/>
          </w:tcPr>
          <w:p w14:paraId="5FBA19A8" w14:textId="67DBFDB0" w:rsidR="001A6170" w:rsidRPr="00EA043E" w:rsidRDefault="001A6170" w:rsidP="00411D5F">
            <w:pPr>
              <w:pStyle w:val="DHHStabletext"/>
              <w:spacing w:after="40"/>
              <w:rPr>
                <w:lang w:eastAsia="en-AU"/>
              </w:rPr>
            </w:pPr>
          </w:p>
        </w:tc>
        <w:tc>
          <w:tcPr>
            <w:tcW w:w="2040" w:type="dxa"/>
            <w:shd w:val="clear" w:color="auto" w:fill="auto"/>
            <w:noWrap/>
            <w:hideMark/>
          </w:tcPr>
          <w:p w14:paraId="01773C18"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0350FFD6" w14:textId="77777777" w:rsidR="001A6170" w:rsidRPr="00EA043E" w:rsidRDefault="001A6170" w:rsidP="00411D5F">
            <w:pPr>
              <w:pStyle w:val="DHHStabletext"/>
              <w:spacing w:after="40"/>
              <w:rPr>
                <w:lang w:eastAsia="en-AU"/>
              </w:rPr>
            </w:pPr>
          </w:p>
        </w:tc>
      </w:tr>
      <w:tr w:rsidR="001A6170" w:rsidRPr="00EA043E" w14:paraId="6B447416" w14:textId="557368AB" w:rsidTr="00717ED8">
        <w:trPr>
          <w:trHeight w:val="340"/>
        </w:trPr>
        <w:tc>
          <w:tcPr>
            <w:tcW w:w="6900" w:type="dxa"/>
            <w:shd w:val="clear" w:color="auto" w:fill="auto"/>
            <w:noWrap/>
            <w:vAlign w:val="bottom"/>
            <w:hideMark/>
          </w:tcPr>
          <w:p w14:paraId="6242C19C" w14:textId="3BA67619" w:rsidR="001A6170" w:rsidRPr="001A6170" w:rsidRDefault="00384990" w:rsidP="00411D5F">
            <w:pPr>
              <w:pStyle w:val="DHHStabletext9pt"/>
              <w:spacing w:after="40"/>
              <w:rPr>
                <w:rStyle w:val="Strong"/>
              </w:rPr>
            </w:pPr>
            <w:r w:rsidRPr="001A6170">
              <w:rPr>
                <w:rStyle w:val="Strong"/>
              </w:rPr>
              <w:t>On the spot covid-19 testing for residents (only if able to test)</w:t>
            </w:r>
          </w:p>
        </w:tc>
        <w:tc>
          <w:tcPr>
            <w:tcW w:w="2745" w:type="dxa"/>
            <w:shd w:val="clear" w:color="auto" w:fill="auto"/>
            <w:noWrap/>
            <w:hideMark/>
          </w:tcPr>
          <w:p w14:paraId="360A55A3" w14:textId="7DA043BE" w:rsidR="001A6170" w:rsidRPr="00EA043E" w:rsidRDefault="001A6170" w:rsidP="00411D5F">
            <w:pPr>
              <w:pStyle w:val="DHHStabletext"/>
              <w:spacing w:after="40"/>
              <w:rPr>
                <w:lang w:eastAsia="en-AU"/>
              </w:rPr>
            </w:pPr>
          </w:p>
        </w:tc>
        <w:tc>
          <w:tcPr>
            <w:tcW w:w="2040" w:type="dxa"/>
            <w:shd w:val="clear" w:color="auto" w:fill="auto"/>
            <w:noWrap/>
            <w:hideMark/>
          </w:tcPr>
          <w:p w14:paraId="4584317F"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47833D3E" w14:textId="77777777" w:rsidR="001A6170" w:rsidRPr="00EA043E" w:rsidRDefault="001A6170" w:rsidP="00411D5F">
            <w:pPr>
              <w:pStyle w:val="DHHStabletext"/>
              <w:spacing w:after="40"/>
              <w:rPr>
                <w:lang w:eastAsia="en-AU"/>
              </w:rPr>
            </w:pPr>
          </w:p>
        </w:tc>
      </w:tr>
      <w:tr w:rsidR="001A6170" w:rsidRPr="00EA043E" w14:paraId="16C80C71" w14:textId="10D14B31" w:rsidTr="00717ED8">
        <w:trPr>
          <w:trHeight w:val="290"/>
        </w:trPr>
        <w:tc>
          <w:tcPr>
            <w:tcW w:w="6900" w:type="dxa"/>
            <w:shd w:val="clear" w:color="auto" w:fill="auto"/>
            <w:noWrap/>
            <w:vAlign w:val="bottom"/>
            <w:hideMark/>
          </w:tcPr>
          <w:p w14:paraId="3C266D7F" w14:textId="77777777" w:rsidR="001A6170" w:rsidRPr="00EA043E" w:rsidRDefault="001A6170" w:rsidP="00411D5F">
            <w:pPr>
              <w:pStyle w:val="DHHStabletext9pt"/>
              <w:spacing w:after="40"/>
              <w:rPr>
                <w:color w:val="000000"/>
              </w:rPr>
            </w:pPr>
            <w:r w:rsidRPr="00EA043E">
              <w:rPr>
                <w:color w:val="000000"/>
              </w:rPr>
              <w:t>Number of COVID-19 test bookings made</w:t>
            </w:r>
          </w:p>
        </w:tc>
        <w:tc>
          <w:tcPr>
            <w:tcW w:w="2745" w:type="dxa"/>
            <w:shd w:val="clear" w:color="auto" w:fill="auto"/>
            <w:noWrap/>
            <w:hideMark/>
          </w:tcPr>
          <w:p w14:paraId="29438491" w14:textId="0853C511" w:rsidR="001A6170" w:rsidRPr="00EA043E" w:rsidRDefault="001A6170" w:rsidP="00411D5F">
            <w:pPr>
              <w:pStyle w:val="DHHStabletext"/>
              <w:spacing w:after="40"/>
              <w:rPr>
                <w:lang w:eastAsia="en-AU"/>
              </w:rPr>
            </w:pPr>
          </w:p>
        </w:tc>
        <w:tc>
          <w:tcPr>
            <w:tcW w:w="2040" w:type="dxa"/>
            <w:shd w:val="clear" w:color="auto" w:fill="auto"/>
            <w:noWrap/>
            <w:hideMark/>
          </w:tcPr>
          <w:p w14:paraId="1E4189F1"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483E5E35" w14:textId="77777777" w:rsidR="001A6170" w:rsidRPr="00EA043E" w:rsidRDefault="001A6170" w:rsidP="00411D5F">
            <w:pPr>
              <w:pStyle w:val="DHHStabletext"/>
              <w:spacing w:after="40"/>
              <w:rPr>
                <w:lang w:eastAsia="en-AU"/>
              </w:rPr>
            </w:pPr>
          </w:p>
        </w:tc>
      </w:tr>
      <w:tr w:rsidR="001A6170" w:rsidRPr="00EA043E" w14:paraId="069AF1C7" w14:textId="1BB0F511" w:rsidTr="00717ED8">
        <w:trPr>
          <w:trHeight w:val="290"/>
        </w:trPr>
        <w:tc>
          <w:tcPr>
            <w:tcW w:w="6900" w:type="dxa"/>
            <w:shd w:val="clear" w:color="auto" w:fill="auto"/>
            <w:noWrap/>
            <w:vAlign w:val="bottom"/>
            <w:hideMark/>
          </w:tcPr>
          <w:p w14:paraId="1391FA09" w14:textId="77777777" w:rsidR="001A6170" w:rsidRPr="00EA043E" w:rsidRDefault="001A6170" w:rsidP="00411D5F">
            <w:pPr>
              <w:pStyle w:val="DHHStabletext9pt"/>
              <w:spacing w:after="40"/>
              <w:rPr>
                <w:color w:val="000000"/>
              </w:rPr>
            </w:pPr>
            <w:r w:rsidRPr="00EA043E">
              <w:rPr>
                <w:color w:val="000000"/>
              </w:rPr>
              <w:t>Number of COVID-19 tests undertaken</w:t>
            </w:r>
          </w:p>
        </w:tc>
        <w:tc>
          <w:tcPr>
            <w:tcW w:w="2745" w:type="dxa"/>
            <w:shd w:val="clear" w:color="auto" w:fill="auto"/>
            <w:noWrap/>
            <w:hideMark/>
          </w:tcPr>
          <w:p w14:paraId="6231DA79" w14:textId="10BBC62A" w:rsidR="001A6170" w:rsidRPr="00EA043E" w:rsidRDefault="001A6170" w:rsidP="00411D5F">
            <w:pPr>
              <w:pStyle w:val="DHHStabletext"/>
              <w:spacing w:after="40"/>
              <w:rPr>
                <w:lang w:eastAsia="en-AU"/>
              </w:rPr>
            </w:pPr>
          </w:p>
        </w:tc>
        <w:tc>
          <w:tcPr>
            <w:tcW w:w="2040" w:type="dxa"/>
            <w:shd w:val="clear" w:color="auto" w:fill="auto"/>
            <w:noWrap/>
            <w:hideMark/>
          </w:tcPr>
          <w:p w14:paraId="2D973E6E"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6EB65089" w14:textId="77777777" w:rsidR="001A6170" w:rsidRPr="00EA043E" w:rsidRDefault="001A6170" w:rsidP="00411D5F">
            <w:pPr>
              <w:pStyle w:val="DHHStabletext"/>
              <w:spacing w:after="40"/>
              <w:rPr>
                <w:lang w:eastAsia="en-AU"/>
              </w:rPr>
            </w:pPr>
          </w:p>
        </w:tc>
      </w:tr>
      <w:tr w:rsidR="001A6170" w:rsidRPr="00EA043E" w14:paraId="69CA1441" w14:textId="633C7CEC" w:rsidTr="00717ED8">
        <w:trPr>
          <w:trHeight w:val="290"/>
        </w:trPr>
        <w:tc>
          <w:tcPr>
            <w:tcW w:w="6900" w:type="dxa"/>
            <w:shd w:val="clear" w:color="auto" w:fill="auto"/>
            <w:noWrap/>
            <w:vAlign w:val="bottom"/>
            <w:hideMark/>
          </w:tcPr>
          <w:p w14:paraId="013A0D9A" w14:textId="77777777" w:rsidR="001A6170" w:rsidRPr="00EA043E" w:rsidRDefault="001A6170" w:rsidP="00411D5F">
            <w:pPr>
              <w:pStyle w:val="DHHStabletext9pt"/>
              <w:spacing w:after="40"/>
              <w:rPr>
                <w:color w:val="000000"/>
              </w:rPr>
            </w:pPr>
            <w:r w:rsidRPr="00EA043E">
              <w:rPr>
                <w:color w:val="000000"/>
              </w:rPr>
              <w:t>Number of COVID-19 tests refused</w:t>
            </w:r>
          </w:p>
        </w:tc>
        <w:tc>
          <w:tcPr>
            <w:tcW w:w="2745" w:type="dxa"/>
            <w:shd w:val="clear" w:color="auto" w:fill="auto"/>
            <w:noWrap/>
            <w:hideMark/>
          </w:tcPr>
          <w:p w14:paraId="2B288A2A" w14:textId="0EADFA73" w:rsidR="001A6170" w:rsidRPr="00EA043E" w:rsidRDefault="001A6170" w:rsidP="00411D5F">
            <w:pPr>
              <w:pStyle w:val="DHHStabletext"/>
              <w:spacing w:after="40"/>
              <w:rPr>
                <w:lang w:eastAsia="en-AU"/>
              </w:rPr>
            </w:pPr>
          </w:p>
        </w:tc>
        <w:tc>
          <w:tcPr>
            <w:tcW w:w="2040" w:type="dxa"/>
            <w:shd w:val="clear" w:color="auto" w:fill="auto"/>
            <w:noWrap/>
            <w:hideMark/>
          </w:tcPr>
          <w:p w14:paraId="4D493018"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22914BF8" w14:textId="77777777" w:rsidR="001A6170" w:rsidRPr="00EA043E" w:rsidRDefault="001A6170" w:rsidP="00411D5F">
            <w:pPr>
              <w:pStyle w:val="DHHStabletext"/>
              <w:spacing w:after="40"/>
              <w:rPr>
                <w:lang w:eastAsia="en-AU"/>
              </w:rPr>
            </w:pPr>
          </w:p>
        </w:tc>
      </w:tr>
      <w:tr w:rsidR="001A6170" w:rsidRPr="00EA043E" w14:paraId="48BE9319" w14:textId="3B1C2197" w:rsidTr="00717ED8">
        <w:trPr>
          <w:trHeight w:val="290"/>
        </w:trPr>
        <w:tc>
          <w:tcPr>
            <w:tcW w:w="6900" w:type="dxa"/>
            <w:shd w:val="clear" w:color="auto" w:fill="auto"/>
            <w:noWrap/>
            <w:vAlign w:val="bottom"/>
            <w:hideMark/>
          </w:tcPr>
          <w:p w14:paraId="0877E6FF" w14:textId="2867BD9A" w:rsidR="001A6170" w:rsidRPr="001A6170" w:rsidRDefault="00384990" w:rsidP="00411D5F">
            <w:pPr>
              <w:pStyle w:val="DHHStabletext9pt"/>
              <w:spacing w:after="40"/>
              <w:rPr>
                <w:rStyle w:val="Strong"/>
              </w:rPr>
            </w:pPr>
            <w:r w:rsidRPr="001A6170">
              <w:rPr>
                <w:rStyle w:val="Strong"/>
              </w:rPr>
              <w:t>Hotel quarantine</w:t>
            </w:r>
          </w:p>
        </w:tc>
        <w:tc>
          <w:tcPr>
            <w:tcW w:w="2745" w:type="dxa"/>
            <w:shd w:val="clear" w:color="auto" w:fill="auto"/>
            <w:noWrap/>
            <w:hideMark/>
          </w:tcPr>
          <w:p w14:paraId="7AE56EE5" w14:textId="436DC24D" w:rsidR="001A6170" w:rsidRPr="00EA043E" w:rsidRDefault="001A6170" w:rsidP="00411D5F">
            <w:pPr>
              <w:pStyle w:val="DHHStabletext"/>
              <w:spacing w:after="40"/>
              <w:rPr>
                <w:lang w:eastAsia="en-AU"/>
              </w:rPr>
            </w:pPr>
          </w:p>
        </w:tc>
        <w:tc>
          <w:tcPr>
            <w:tcW w:w="2040" w:type="dxa"/>
            <w:shd w:val="clear" w:color="auto" w:fill="auto"/>
            <w:noWrap/>
            <w:hideMark/>
          </w:tcPr>
          <w:p w14:paraId="4EDC321D"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4141760C" w14:textId="77777777" w:rsidR="001A6170" w:rsidRPr="00EA043E" w:rsidRDefault="001A6170" w:rsidP="00411D5F">
            <w:pPr>
              <w:pStyle w:val="DHHStabletext"/>
              <w:spacing w:after="40"/>
              <w:rPr>
                <w:lang w:eastAsia="en-AU"/>
              </w:rPr>
            </w:pPr>
          </w:p>
        </w:tc>
      </w:tr>
      <w:tr w:rsidR="001A6170" w:rsidRPr="00EA043E" w14:paraId="6E7CCC6B" w14:textId="075A7C2F" w:rsidTr="00717ED8">
        <w:trPr>
          <w:trHeight w:val="290"/>
        </w:trPr>
        <w:tc>
          <w:tcPr>
            <w:tcW w:w="6900" w:type="dxa"/>
            <w:shd w:val="clear" w:color="auto" w:fill="auto"/>
            <w:noWrap/>
            <w:vAlign w:val="bottom"/>
            <w:hideMark/>
          </w:tcPr>
          <w:p w14:paraId="521DF907" w14:textId="77777777" w:rsidR="001A6170" w:rsidRPr="00EA043E" w:rsidRDefault="001A6170" w:rsidP="00411D5F">
            <w:pPr>
              <w:pStyle w:val="DHHStabletext9pt"/>
              <w:spacing w:after="40"/>
              <w:rPr>
                <w:color w:val="000000"/>
              </w:rPr>
            </w:pPr>
            <w:r w:rsidRPr="00EA043E">
              <w:rPr>
                <w:color w:val="000000"/>
              </w:rPr>
              <w:t>Number of positive residents assisted to move to hotel quarantine</w:t>
            </w:r>
          </w:p>
        </w:tc>
        <w:tc>
          <w:tcPr>
            <w:tcW w:w="2745" w:type="dxa"/>
            <w:shd w:val="clear" w:color="auto" w:fill="auto"/>
            <w:noWrap/>
            <w:hideMark/>
          </w:tcPr>
          <w:p w14:paraId="62E75E4D" w14:textId="64C3EA79" w:rsidR="001A6170" w:rsidRPr="00EA043E" w:rsidRDefault="001A6170" w:rsidP="00411D5F">
            <w:pPr>
              <w:pStyle w:val="DHHStabletext"/>
              <w:spacing w:after="40"/>
              <w:rPr>
                <w:lang w:eastAsia="en-AU"/>
              </w:rPr>
            </w:pPr>
          </w:p>
        </w:tc>
        <w:tc>
          <w:tcPr>
            <w:tcW w:w="2040" w:type="dxa"/>
            <w:shd w:val="clear" w:color="auto" w:fill="auto"/>
            <w:noWrap/>
            <w:hideMark/>
          </w:tcPr>
          <w:p w14:paraId="6119AB3A"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355AD80A" w14:textId="77777777" w:rsidR="001A6170" w:rsidRPr="00EA043E" w:rsidRDefault="001A6170" w:rsidP="00411D5F">
            <w:pPr>
              <w:pStyle w:val="DHHStabletext"/>
              <w:spacing w:after="40"/>
              <w:rPr>
                <w:lang w:eastAsia="en-AU"/>
              </w:rPr>
            </w:pPr>
          </w:p>
        </w:tc>
      </w:tr>
      <w:tr w:rsidR="001A6170" w:rsidRPr="00EA043E" w14:paraId="36778F94" w14:textId="791EBD9D" w:rsidTr="00717ED8">
        <w:trPr>
          <w:trHeight w:val="290"/>
        </w:trPr>
        <w:tc>
          <w:tcPr>
            <w:tcW w:w="6900" w:type="dxa"/>
            <w:shd w:val="clear" w:color="auto" w:fill="auto"/>
            <w:noWrap/>
            <w:vAlign w:val="bottom"/>
            <w:hideMark/>
          </w:tcPr>
          <w:p w14:paraId="44BB2719" w14:textId="1B4C1DC5" w:rsidR="001A6170" w:rsidRPr="001A6170" w:rsidRDefault="00384990" w:rsidP="00411D5F">
            <w:pPr>
              <w:pStyle w:val="DHHStabletext9pt"/>
              <w:spacing w:after="40"/>
              <w:rPr>
                <w:rStyle w:val="Strong"/>
              </w:rPr>
            </w:pPr>
            <w:r w:rsidRPr="001A6170">
              <w:rPr>
                <w:rStyle w:val="Strong"/>
              </w:rPr>
              <w:t>Relief support</w:t>
            </w:r>
          </w:p>
        </w:tc>
        <w:tc>
          <w:tcPr>
            <w:tcW w:w="2745" w:type="dxa"/>
            <w:shd w:val="clear" w:color="auto" w:fill="auto"/>
            <w:noWrap/>
            <w:hideMark/>
          </w:tcPr>
          <w:p w14:paraId="5AD7B83B" w14:textId="77777777" w:rsidR="001A6170" w:rsidRPr="00EA043E" w:rsidRDefault="001A6170" w:rsidP="00411D5F">
            <w:pPr>
              <w:pStyle w:val="DHHStabletext"/>
              <w:spacing w:after="40"/>
              <w:rPr>
                <w:lang w:eastAsia="en-AU"/>
              </w:rPr>
            </w:pPr>
            <w:r w:rsidRPr="00EA043E">
              <w:rPr>
                <w:lang w:eastAsia="en-AU"/>
              </w:rPr>
              <w:t> </w:t>
            </w:r>
          </w:p>
        </w:tc>
        <w:tc>
          <w:tcPr>
            <w:tcW w:w="2040" w:type="dxa"/>
            <w:shd w:val="clear" w:color="auto" w:fill="auto"/>
            <w:noWrap/>
            <w:hideMark/>
          </w:tcPr>
          <w:p w14:paraId="20C39A95"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2B5D22E7" w14:textId="77777777" w:rsidR="001A6170" w:rsidRPr="00EA043E" w:rsidRDefault="001A6170" w:rsidP="00411D5F">
            <w:pPr>
              <w:pStyle w:val="DHHStabletext"/>
              <w:spacing w:after="40"/>
              <w:rPr>
                <w:lang w:eastAsia="en-AU"/>
              </w:rPr>
            </w:pPr>
          </w:p>
        </w:tc>
      </w:tr>
      <w:tr w:rsidR="001A6170" w:rsidRPr="00EA043E" w14:paraId="757C1362" w14:textId="2F10BCEE" w:rsidTr="00717ED8">
        <w:trPr>
          <w:trHeight w:val="472"/>
        </w:trPr>
        <w:tc>
          <w:tcPr>
            <w:tcW w:w="6900" w:type="dxa"/>
            <w:shd w:val="clear" w:color="auto" w:fill="auto"/>
            <w:hideMark/>
          </w:tcPr>
          <w:p w14:paraId="23CBF8CF" w14:textId="77777777" w:rsidR="001A6170" w:rsidRPr="00EA043E" w:rsidRDefault="001A6170" w:rsidP="00411D5F">
            <w:pPr>
              <w:pStyle w:val="DHHStabletext9pt"/>
              <w:spacing w:after="40"/>
              <w:rPr>
                <w:color w:val="000000"/>
              </w:rPr>
            </w:pPr>
            <w:r w:rsidRPr="00EA043E">
              <w:rPr>
                <w:color w:val="000000"/>
              </w:rPr>
              <w:t>Number of dwellings/accommodation settings where isolation/emergency relief support provided (eg. laundry, food, medicine etc.)</w:t>
            </w:r>
          </w:p>
        </w:tc>
        <w:tc>
          <w:tcPr>
            <w:tcW w:w="2745" w:type="dxa"/>
            <w:shd w:val="clear" w:color="auto" w:fill="auto"/>
            <w:noWrap/>
            <w:hideMark/>
          </w:tcPr>
          <w:p w14:paraId="6314E115" w14:textId="4B071061" w:rsidR="001A6170" w:rsidRPr="00EA043E" w:rsidRDefault="001A6170" w:rsidP="00411D5F">
            <w:pPr>
              <w:pStyle w:val="DHHStabletext"/>
              <w:spacing w:after="40"/>
              <w:rPr>
                <w:lang w:eastAsia="en-AU"/>
              </w:rPr>
            </w:pPr>
          </w:p>
        </w:tc>
        <w:tc>
          <w:tcPr>
            <w:tcW w:w="2040" w:type="dxa"/>
            <w:shd w:val="clear" w:color="auto" w:fill="auto"/>
            <w:noWrap/>
            <w:hideMark/>
          </w:tcPr>
          <w:p w14:paraId="330BD233"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302CB51A" w14:textId="77777777" w:rsidR="001A6170" w:rsidRPr="00EA043E" w:rsidRDefault="001A6170" w:rsidP="00411D5F">
            <w:pPr>
              <w:pStyle w:val="DHHStabletext"/>
              <w:spacing w:after="40"/>
              <w:rPr>
                <w:lang w:eastAsia="en-AU"/>
              </w:rPr>
            </w:pPr>
          </w:p>
        </w:tc>
      </w:tr>
      <w:tr w:rsidR="001A6170" w:rsidRPr="00EA043E" w14:paraId="2B6A2F5B" w14:textId="3E2C7A97" w:rsidTr="00717ED8">
        <w:trPr>
          <w:trHeight w:val="290"/>
        </w:trPr>
        <w:tc>
          <w:tcPr>
            <w:tcW w:w="6900" w:type="dxa"/>
            <w:shd w:val="clear" w:color="auto" w:fill="auto"/>
            <w:noWrap/>
            <w:vAlign w:val="bottom"/>
            <w:hideMark/>
          </w:tcPr>
          <w:p w14:paraId="340084BF" w14:textId="018B2BB9" w:rsidR="001A6170" w:rsidRPr="00411D5F" w:rsidRDefault="00384990" w:rsidP="00411D5F">
            <w:pPr>
              <w:pStyle w:val="DHHStabletext9pt"/>
              <w:spacing w:after="40"/>
              <w:rPr>
                <w:rStyle w:val="Strong"/>
              </w:rPr>
            </w:pPr>
            <w:r w:rsidRPr="00411D5F">
              <w:rPr>
                <w:rStyle w:val="Strong"/>
              </w:rPr>
              <w:t>Non-compliance</w:t>
            </w:r>
          </w:p>
        </w:tc>
        <w:tc>
          <w:tcPr>
            <w:tcW w:w="2745" w:type="dxa"/>
            <w:shd w:val="clear" w:color="auto" w:fill="auto"/>
            <w:noWrap/>
            <w:vAlign w:val="bottom"/>
            <w:hideMark/>
          </w:tcPr>
          <w:p w14:paraId="12F16DD4" w14:textId="690C2CB5" w:rsidR="001A6170" w:rsidRPr="00EA043E" w:rsidRDefault="001A6170" w:rsidP="00411D5F">
            <w:pPr>
              <w:pStyle w:val="DHHStabletext"/>
              <w:spacing w:after="40"/>
              <w:rPr>
                <w:lang w:eastAsia="en-AU"/>
              </w:rPr>
            </w:pPr>
          </w:p>
        </w:tc>
        <w:tc>
          <w:tcPr>
            <w:tcW w:w="2040" w:type="dxa"/>
            <w:shd w:val="clear" w:color="auto" w:fill="auto"/>
            <w:noWrap/>
            <w:vAlign w:val="bottom"/>
            <w:hideMark/>
          </w:tcPr>
          <w:p w14:paraId="530F1AB5" w14:textId="77777777" w:rsidR="001A6170" w:rsidRPr="00EA043E" w:rsidRDefault="001A6170" w:rsidP="00411D5F">
            <w:pPr>
              <w:pStyle w:val="DHHStabletext"/>
              <w:spacing w:after="40"/>
              <w:rPr>
                <w:lang w:eastAsia="en-AU"/>
              </w:rPr>
            </w:pPr>
            <w:r w:rsidRPr="00EA043E">
              <w:rPr>
                <w:lang w:eastAsia="en-AU"/>
              </w:rPr>
              <w:t> </w:t>
            </w:r>
          </w:p>
        </w:tc>
        <w:tc>
          <w:tcPr>
            <w:tcW w:w="3624" w:type="dxa"/>
            <w:shd w:val="clear" w:color="auto" w:fill="auto"/>
          </w:tcPr>
          <w:p w14:paraId="4B67CC05" w14:textId="77777777" w:rsidR="001A6170" w:rsidRPr="00EA043E" w:rsidRDefault="001A6170" w:rsidP="00411D5F">
            <w:pPr>
              <w:pStyle w:val="DHHStabletext"/>
              <w:spacing w:after="40"/>
              <w:rPr>
                <w:lang w:eastAsia="en-AU"/>
              </w:rPr>
            </w:pPr>
          </w:p>
        </w:tc>
      </w:tr>
      <w:tr w:rsidR="001A6170" w:rsidRPr="00EA043E" w14:paraId="4E1D743B" w14:textId="680ABB7F" w:rsidTr="00717ED8">
        <w:trPr>
          <w:trHeight w:val="590"/>
        </w:trPr>
        <w:tc>
          <w:tcPr>
            <w:tcW w:w="6900" w:type="dxa"/>
            <w:shd w:val="clear" w:color="auto" w:fill="auto"/>
            <w:hideMark/>
          </w:tcPr>
          <w:p w14:paraId="23A78C01" w14:textId="77777777" w:rsidR="001A6170" w:rsidRPr="00EA043E" w:rsidRDefault="001A6170" w:rsidP="00411D5F">
            <w:pPr>
              <w:pStyle w:val="DHHStabletext9pt"/>
              <w:spacing w:after="40"/>
            </w:pPr>
            <w:r w:rsidRPr="00EA043E">
              <w:t>Number of dwellings/facilities referred to authorised officers or police for non-compliance of health directions</w:t>
            </w:r>
          </w:p>
        </w:tc>
        <w:tc>
          <w:tcPr>
            <w:tcW w:w="2745" w:type="dxa"/>
            <w:shd w:val="clear" w:color="auto" w:fill="auto"/>
            <w:noWrap/>
            <w:hideMark/>
          </w:tcPr>
          <w:p w14:paraId="6DB2C2F3" w14:textId="77777777" w:rsidR="001A6170" w:rsidRPr="00EA043E" w:rsidRDefault="001A6170" w:rsidP="00411D5F">
            <w:pPr>
              <w:pStyle w:val="DHHStabletext"/>
              <w:spacing w:after="40"/>
              <w:rPr>
                <w:rFonts w:ascii="Calibri" w:hAnsi="Calibri" w:cs="Calibri"/>
                <w:sz w:val="22"/>
                <w:szCs w:val="22"/>
                <w:lang w:eastAsia="en-AU"/>
              </w:rPr>
            </w:pPr>
            <w:r w:rsidRPr="00EA043E">
              <w:rPr>
                <w:rFonts w:ascii="Calibri" w:hAnsi="Calibri" w:cs="Calibri"/>
                <w:sz w:val="22"/>
                <w:szCs w:val="22"/>
                <w:lang w:eastAsia="en-AU"/>
              </w:rPr>
              <w:t> </w:t>
            </w:r>
          </w:p>
        </w:tc>
        <w:tc>
          <w:tcPr>
            <w:tcW w:w="2040" w:type="dxa"/>
            <w:shd w:val="clear" w:color="auto" w:fill="auto"/>
            <w:noWrap/>
            <w:hideMark/>
          </w:tcPr>
          <w:p w14:paraId="7DEDD424" w14:textId="77777777" w:rsidR="001A6170" w:rsidRPr="00EA043E" w:rsidRDefault="001A6170" w:rsidP="00411D5F">
            <w:pPr>
              <w:pStyle w:val="DHHStabletext"/>
              <w:spacing w:after="40"/>
              <w:rPr>
                <w:rFonts w:ascii="Calibri" w:hAnsi="Calibri" w:cs="Calibri"/>
                <w:sz w:val="22"/>
                <w:szCs w:val="22"/>
                <w:lang w:eastAsia="en-AU"/>
              </w:rPr>
            </w:pPr>
            <w:r w:rsidRPr="00EA043E">
              <w:rPr>
                <w:rFonts w:ascii="Calibri" w:hAnsi="Calibri" w:cs="Calibri"/>
                <w:sz w:val="22"/>
                <w:szCs w:val="22"/>
                <w:lang w:eastAsia="en-AU"/>
              </w:rPr>
              <w:t> </w:t>
            </w:r>
          </w:p>
        </w:tc>
        <w:tc>
          <w:tcPr>
            <w:tcW w:w="3624" w:type="dxa"/>
            <w:shd w:val="clear" w:color="auto" w:fill="auto"/>
          </w:tcPr>
          <w:p w14:paraId="7EC7F59D" w14:textId="77777777" w:rsidR="001A6170" w:rsidRPr="00EA043E" w:rsidRDefault="001A6170" w:rsidP="00411D5F">
            <w:pPr>
              <w:pStyle w:val="DHHStabletext"/>
              <w:spacing w:after="40"/>
              <w:rPr>
                <w:rFonts w:ascii="Calibri" w:hAnsi="Calibri" w:cs="Calibri"/>
                <w:sz w:val="22"/>
                <w:szCs w:val="22"/>
                <w:lang w:eastAsia="en-AU"/>
              </w:rPr>
            </w:pPr>
          </w:p>
        </w:tc>
      </w:tr>
    </w:tbl>
    <w:p w14:paraId="67FCFFFA" w14:textId="77777777" w:rsidR="00541C69" w:rsidRDefault="00541C69" w:rsidP="00541C69">
      <w:pPr>
        <w:rPr>
          <w:rStyle w:val="Hyperlink"/>
          <w:rFonts w:cs="Arial"/>
          <w:color w:val="auto"/>
          <w:szCs w:val="21"/>
          <w:highlight w:val="yellow"/>
        </w:rPr>
      </w:pPr>
    </w:p>
    <w:p w14:paraId="38EA973C" w14:textId="0437B3E5" w:rsidR="00541C69" w:rsidRDefault="00541C69" w:rsidP="00541C69">
      <w:pPr>
        <w:rPr>
          <w:rStyle w:val="Hyperlink"/>
          <w:rFonts w:cs="Arial"/>
          <w:color w:val="auto"/>
          <w:szCs w:val="21"/>
          <w:highlight w:val="yellow"/>
        </w:rPr>
        <w:sectPr w:rsidR="00541C69" w:rsidSect="00FF006A">
          <w:pgSz w:w="16838" w:h="11906" w:orient="landscape" w:code="9"/>
          <w:pgMar w:top="720" w:right="720" w:bottom="720" w:left="567" w:header="680" w:footer="851" w:gutter="0"/>
          <w:cols w:space="340"/>
          <w:docGrid w:linePitch="360"/>
        </w:sectPr>
      </w:pPr>
    </w:p>
    <w:p w14:paraId="073F3B54" w14:textId="6097A252" w:rsidR="00260557" w:rsidRDefault="00260557" w:rsidP="00541C69">
      <w:pPr>
        <w:pStyle w:val="Heading3"/>
      </w:pPr>
      <w:r>
        <w:lastRenderedPageBreak/>
        <w:t>Acquittal Template</w:t>
      </w:r>
    </w:p>
    <w:p w14:paraId="343AFAEF" w14:textId="4C0CCDF5" w:rsidR="00541C69" w:rsidRPr="00541C69" w:rsidRDefault="00541C69" w:rsidP="0041007D">
      <w:pPr>
        <w:pStyle w:val="Body"/>
      </w:pPr>
      <w:r w:rsidRPr="00EA043E">
        <w:rPr>
          <w:noProof/>
        </w:rPr>
        <w:drawing>
          <wp:inline distT="0" distB="0" distL="0" distR="0" wp14:anchorId="2246032D" wp14:editId="0B482C44">
            <wp:extent cx="6645275" cy="7953375"/>
            <wp:effectExtent l="0" t="0" r="0" b="0"/>
            <wp:docPr id="4" name="Picture 4" descr="Acquittal template. Templat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quittal template. Template form"/>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645275" cy="7953375"/>
                    </a:xfrm>
                    <a:prstGeom prst="rect">
                      <a:avLst/>
                    </a:prstGeom>
                    <a:noFill/>
                    <a:ln>
                      <a:noFill/>
                    </a:ln>
                  </pic:spPr>
                </pic:pic>
              </a:graphicData>
            </a:graphic>
          </wp:inline>
        </w:drawing>
      </w:r>
    </w:p>
    <w:p w14:paraId="1FD3B133" w14:textId="77777777" w:rsidR="00260557" w:rsidRPr="00384990" w:rsidRDefault="00260557" w:rsidP="00384990">
      <w:pPr>
        <w:pStyle w:val="Heading3"/>
      </w:pPr>
      <w:r w:rsidRPr="00384990">
        <w:lastRenderedPageBreak/>
        <w:t>Risk Assessment</w:t>
      </w:r>
    </w:p>
    <w:p w14:paraId="743CE713" w14:textId="77777777" w:rsidR="006F2CF0" w:rsidRPr="006C34E5" w:rsidRDefault="006F2CF0" w:rsidP="006C34E5">
      <w:pPr>
        <w:pStyle w:val="DHHStabletext"/>
        <w:rPr>
          <w:rStyle w:val="Strong"/>
        </w:rPr>
      </w:pPr>
      <w:r w:rsidRPr="006C34E5">
        <w:rPr>
          <w:rStyle w:val="Strong"/>
        </w:rPr>
        <w:t>Purpose</w:t>
      </w:r>
    </w:p>
    <w:p w14:paraId="701C8717" w14:textId="77777777" w:rsidR="006F2CF0" w:rsidRPr="00443489" w:rsidRDefault="006F2CF0" w:rsidP="006C34E5">
      <w:pPr>
        <w:pStyle w:val="DHHStabletext"/>
        <w:rPr>
          <w:lang w:eastAsia="en-AU"/>
        </w:rPr>
      </w:pPr>
      <w:r w:rsidRPr="00443489">
        <w:rPr>
          <w:lang w:eastAsia="en-AU"/>
        </w:rPr>
        <w:t>To provide an overall risk rating to each dwelling within your catchment to represent the associated risk in the event of an outbreak. This will support planning an approach for high risk accommodation settings in the event of a potential or confirmed COVID 19 case.</w:t>
      </w:r>
    </w:p>
    <w:p w14:paraId="1177826E" w14:textId="77777777" w:rsidR="006F2CF0" w:rsidRPr="00F37BD2" w:rsidRDefault="006F2CF0" w:rsidP="00F37BD2">
      <w:pPr>
        <w:pStyle w:val="Heading4"/>
      </w:pPr>
      <w:r w:rsidRPr="00F37BD2">
        <w:t>Instructions</w:t>
      </w:r>
    </w:p>
    <w:p w14:paraId="30D38037" w14:textId="77777777" w:rsidR="006F2CF0" w:rsidRDefault="006F2CF0" w:rsidP="006C34E5">
      <w:pPr>
        <w:pStyle w:val="DHHStabletext"/>
        <w:spacing w:after="120"/>
        <w:rPr>
          <w:rStyle w:val="Strong"/>
        </w:rPr>
      </w:pPr>
      <w:r w:rsidRPr="006C34E5">
        <w:rPr>
          <w:rStyle w:val="Strong"/>
        </w:rPr>
        <w:t>Risk</w:t>
      </w:r>
    </w:p>
    <w:p w14:paraId="3CEA980B" w14:textId="77777777" w:rsidR="006F2CF0" w:rsidRDefault="006F2CF0" w:rsidP="006C34E5">
      <w:pPr>
        <w:pStyle w:val="DHHStabletext"/>
        <w:spacing w:after="120"/>
        <w:rPr>
          <w:lang w:eastAsia="en-AU"/>
        </w:rPr>
      </w:pPr>
      <w:r w:rsidRPr="00443489">
        <w:rPr>
          <w:lang w:eastAsia="en-AU"/>
        </w:rPr>
        <w:t>The attached Risk Matrix (see tab 'risk') identifies and describes risk factors under three themes to assist in identifying an overall rating.</w:t>
      </w:r>
    </w:p>
    <w:p w14:paraId="0ED7C494" w14:textId="77777777" w:rsidR="006F2CF0" w:rsidRDefault="006F2CF0" w:rsidP="006C34E5">
      <w:pPr>
        <w:pStyle w:val="DHHStabletext"/>
        <w:spacing w:after="120"/>
        <w:rPr>
          <w:lang w:eastAsia="en-AU"/>
        </w:rPr>
      </w:pPr>
      <w:r w:rsidRPr="00443489">
        <w:rPr>
          <w:lang w:eastAsia="en-AU"/>
        </w:rPr>
        <w:t>* Select the most appropriate under each of the three themes</w:t>
      </w:r>
    </w:p>
    <w:p w14:paraId="069D086F" w14:textId="77777777" w:rsidR="006F2CF0" w:rsidRDefault="006F2CF0" w:rsidP="006C34E5">
      <w:pPr>
        <w:pStyle w:val="DHHStabletext"/>
        <w:spacing w:after="120"/>
        <w:rPr>
          <w:lang w:eastAsia="en-AU"/>
        </w:rPr>
      </w:pPr>
      <w:r w:rsidRPr="00443489">
        <w:rPr>
          <w:lang w:eastAsia="en-AU"/>
        </w:rPr>
        <w:t>* To achieve an overall rating, please use either of the two risk matrix's provided</w:t>
      </w:r>
    </w:p>
    <w:p w14:paraId="5159334F" w14:textId="77777777" w:rsidR="006F2CF0" w:rsidRDefault="006F2CF0" w:rsidP="006C34E5">
      <w:pPr>
        <w:pStyle w:val="DHHStabletext"/>
        <w:spacing w:after="120"/>
        <w:rPr>
          <w:lang w:eastAsia="en-AU"/>
        </w:rPr>
      </w:pPr>
      <w:r w:rsidRPr="00443489">
        <w:rPr>
          <w:lang w:eastAsia="en-AU"/>
        </w:rPr>
        <w:t>* Record the associated overall risk rating against the dwelling in your facility list</w:t>
      </w:r>
    </w:p>
    <w:p w14:paraId="66124540" w14:textId="77777777" w:rsidR="006F2CF0" w:rsidRDefault="006F2CF0" w:rsidP="006C34E5">
      <w:pPr>
        <w:pStyle w:val="DHHStabletext"/>
        <w:spacing w:after="120"/>
        <w:rPr>
          <w:rStyle w:val="Strong"/>
        </w:rPr>
      </w:pPr>
      <w:r w:rsidRPr="006C34E5">
        <w:rPr>
          <w:rStyle w:val="Strong"/>
        </w:rPr>
        <w:t>Risk Identification</w:t>
      </w:r>
    </w:p>
    <w:p w14:paraId="65F78323" w14:textId="77777777" w:rsidR="006F2CF0" w:rsidRDefault="006F2CF0" w:rsidP="006C34E5">
      <w:pPr>
        <w:pStyle w:val="DHHStabletext"/>
        <w:spacing w:after="120"/>
        <w:rPr>
          <w:lang w:eastAsia="en-AU"/>
        </w:rPr>
      </w:pPr>
      <w:r w:rsidRPr="00443489">
        <w:rPr>
          <w:lang w:eastAsia="en-AU"/>
        </w:rPr>
        <w:t>This tab provides further details on the risk factors listed in each risk theme</w:t>
      </w:r>
    </w:p>
    <w:p w14:paraId="636EBC37" w14:textId="77777777" w:rsidR="006F2CF0" w:rsidRDefault="006F2CF0" w:rsidP="006C34E5">
      <w:pPr>
        <w:pStyle w:val="DHHStabletext"/>
        <w:spacing w:after="120"/>
        <w:rPr>
          <w:rStyle w:val="Strong"/>
        </w:rPr>
      </w:pPr>
      <w:r w:rsidRPr="006C34E5">
        <w:rPr>
          <w:rStyle w:val="Strong"/>
        </w:rPr>
        <w:t>Accomm Settings</w:t>
      </w:r>
    </w:p>
    <w:p w14:paraId="2A377667" w14:textId="77777777" w:rsidR="006F2CF0" w:rsidRPr="006C34E5" w:rsidRDefault="006F2CF0" w:rsidP="006C34E5">
      <w:pPr>
        <w:pStyle w:val="DHHStabletext"/>
        <w:spacing w:after="120"/>
        <w:rPr>
          <w:u w:val="single"/>
          <w:lang w:eastAsia="en-AU"/>
        </w:rPr>
      </w:pPr>
      <w:r w:rsidRPr="00443489">
        <w:rPr>
          <w:lang w:eastAsia="en-AU"/>
        </w:rPr>
        <w:t>The table in this tab describes the characteristics and considerations across different accommodation settings which may assist in the determination of a risk rating</w:t>
      </w:r>
    </w:p>
    <w:p w14:paraId="43294202" w14:textId="77777777" w:rsidR="006F2CF0" w:rsidRPr="00F37BD2" w:rsidRDefault="006F2CF0" w:rsidP="00F37BD2">
      <w:pPr>
        <w:pStyle w:val="Heading4"/>
      </w:pPr>
      <w:r w:rsidRPr="00F37BD2">
        <w:t>Frequency of reporting</w:t>
      </w:r>
    </w:p>
    <w:p w14:paraId="20D61BC6" w14:textId="77777777" w:rsidR="006F2CF0" w:rsidRDefault="006F2CF0" w:rsidP="006C34E5">
      <w:pPr>
        <w:pStyle w:val="DHHStabletext"/>
        <w:rPr>
          <w:lang w:eastAsia="en-AU"/>
        </w:rPr>
      </w:pPr>
      <w:r w:rsidRPr="00443489">
        <w:rPr>
          <w:lang w:eastAsia="en-AU"/>
        </w:rPr>
        <w:t>Completion of the initial risk rating for all dwellings is requi</w:t>
      </w:r>
      <w:r>
        <w:rPr>
          <w:lang w:eastAsia="en-AU"/>
        </w:rPr>
        <w:t>red</w:t>
      </w:r>
      <w:r w:rsidRPr="00443489">
        <w:rPr>
          <w:lang w:eastAsia="en-AU"/>
        </w:rPr>
        <w:t>.</w:t>
      </w:r>
    </w:p>
    <w:p w14:paraId="50F434A0" w14:textId="77777777" w:rsidR="006F2CF0" w:rsidRPr="00443489" w:rsidRDefault="006F2CF0" w:rsidP="006C34E5">
      <w:pPr>
        <w:pStyle w:val="DHHStabletext"/>
        <w:rPr>
          <w:lang w:eastAsia="en-AU"/>
        </w:rPr>
      </w:pPr>
      <w:r w:rsidRPr="00443489">
        <w:rPr>
          <w:lang w:eastAsia="en-AU"/>
        </w:rPr>
        <w:t xml:space="preserve">* Any change to the rating is to be provided monthly </w:t>
      </w:r>
    </w:p>
    <w:p w14:paraId="45C78C57" w14:textId="77777777" w:rsidR="00260557" w:rsidRDefault="00260557" w:rsidP="00260557">
      <w:pPr>
        <w:spacing w:after="0" w:line="240" w:lineRule="auto"/>
        <w:rPr>
          <w:b/>
          <w:color w:val="201547"/>
          <w:sz w:val="32"/>
          <w:szCs w:val="28"/>
        </w:rPr>
      </w:pPr>
      <w:r>
        <w:br w:type="page"/>
      </w:r>
    </w:p>
    <w:p w14:paraId="135FD075" w14:textId="767CEDE3" w:rsidR="00260557" w:rsidRPr="00384990" w:rsidRDefault="00384990" w:rsidP="00384990">
      <w:pPr>
        <w:pStyle w:val="Heading4"/>
      </w:pPr>
      <w:r w:rsidRPr="00384990">
        <w:lastRenderedPageBreak/>
        <w:t>Risk themes</w:t>
      </w:r>
    </w:p>
    <w:tbl>
      <w:tblPr>
        <w:tblW w:w="10773"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Risk themes"/>
        <w:tblDescription w:val="Environment and infrustructure; Systems, governance and leadership; Resident/tenant characteristics.&#10;3 rows:&#10;1st row (green) - low risk&#10;2nd row (orange) - medium risk&#10;3rd row (red) - high risk&#10;"/>
      </w:tblPr>
      <w:tblGrid>
        <w:gridCol w:w="3480"/>
        <w:gridCol w:w="3700"/>
        <w:gridCol w:w="3593"/>
      </w:tblGrid>
      <w:tr w:rsidR="00260557" w:rsidRPr="009C69FA" w14:paraId="4D59BD71" w14:textId="77777777" w:rsidTr="006C34E5">
        <w:trPr>
          <w:trHeight w:val="300"/>
        </w:trPr>
        <w:tc>
          <w:tcPr>
            <w:tcW w:w="3480" w:type="dxa"/>
            <w:shd w:val="clear" w:color="auto" w:fill="auto"/>
            <w:vAlign w:val="center"/>
            <w:hideMark/>
          </w:tcPr>
          <w:p w14:paraId="143E26DC" w14:textId="77777777" w:rsidR="00260557" w:rsidRPr="006C34E5" w:rsidRDefault="00260557" w:rsidP="005325AE">
            <w:pPr>
              <w:pStyle w:val="DHHStablecolhead"/>
            </w:pPr>
            <w:r w:rsidRPr="006C34E5">
              <w:t xml:space="preserve">Environment and infrastructure </w:t>
            </w:r>
          </w:p>
        </w:tc>
        <w:tc>
          <w:tcPr>
            <w:tcW w:w="3700" w:type="dxa"/>
            <w:shd w:val="clear" w:color="auto" w:fill="auto"/>
            <w:vAlign w:val="center"/>
            <w:hideMark/>
          </w:tcPr>
          <w:p w14:paraId="2F657188" w14:textId="77777777" w:rsidR="00260557" w:rsidRPr="006C34E5" w:rsidRDefault="00260557" w:rsidP="005325AE">
            <w:pPr>
              <w:pStyle w:val="DHHStablecolhead"/>
            </w:pPr>
            <w:r w:rsidRPr="006C34E5">
              <w:t xml:space="preserve">Systems, governance and leadership </w:t>
            </w:r>
          </w:p>
        </w:tc>
        <w:tc>
          <w:tcPr>
            <w:tcW w:w="3593" w:type="dxa"/>
            <w:shd w:val="clear" w:color="auto" w:fill="auto"/>
            <w:noWrap/>
            <w:vAlign w:val="center"/>
            <w:hideMark/>
          </w:tcPr>
          <w:p w14:paraId="61C13D4E" w14:textId="77777777" w:rsidR="00260557" w:rsidRPr="006C34E5" w:rsidRDefault="00260557" w:rsidP="005325AE">
            <w:pPr>
              <w:pStyle w:val="DHHStablecolhead"/>
            </w:pPr>
            <w:r w:rsidRPr="006C34E5">
              <w:t>Resident/tenant characteristics</w:t>
            </w:r>
          </w:p>
        </w:tc>
      </w:tr>
      <w:tr w:rsidR="00260557" w:rsidRPr="009C69FA" w14:paraId="1DD9F2FE" w14:textId="77777777" w:rsidTr="006C34E5">
        <w:trPr>
          <w:trHeight w:val="1928"/>
        </w:trPr>
        <w:tc>
          <w:tcPr>
            <w:tcW w:w="3480" w:type="dxa"/>
            <w:shd w:val="clear" w:color="000000" w:fill="92D050"/>
            <w:hideMark/>
          </w:tcPr>
          <w:p w14:paraId="5D84EBEE" w14:textId="77777777" w:rsidR="006C34E5" w:rsidRDefault="00260557" w:rsidP="006C34E5">
            <w:pPr>
              <w:pStyle w:val="DHHStabletext"/>
              <w:spacing w:after="120"/>
              <w:rPr>
                <w:lang w:eastAsia="en-AU"/>
              </w:rPr>
            </w:pPr>
            <w:r w:rsidRPr="009C69FA">
              <w:rPr>
                <w:lang w:eastAsia="en-AU"/>
              </w:rPr>
              <w:t>Strong indication of:</w:t>
            </w:r>
          </w:p>
          <w:p w14:paraId="6E3CEC36" w14:textId="2C4E93B2" w:rsidR="006C34E5" w:rsidRDefault="00260557" w:rsidP="006C34E5">
            <w:pPr>
              <w:pStyle w:val="DHHStabletext"/>
              <w:spacing w:after="120"/>
              <w:rPr>
                <w:lang w:eastAsia="en-AU"/>
              </w:rPr>
            </w:pPr>
            <w:r w:rsidRPr="009C69FA">
              <w:rPr>
                <w:lang w:eastAsia="en-AU"/>
              </w:rPr>
              <w:t>* ability for residents/tenants to isolate</w:t>
            </w:r>
          </w:p>
          <w:p w14:paraId="313B5AF9" w14:textId="0C31D173" w:rsidR="006C34E5" w:rsidRDefault="00260557" w:rsidP="006C34E5">
            <w:pPr>
              <w:pStyle w:val="DHHStabletext"/>
              <w:spacing w:after="120"/>
              <w:rPr>
                <w:lang w:eastAsia="en-AU"/>
              </w:rPr>
            </w:pPr>
            <w:r w:rsidRPr="009C69FA">
              <w:rPr>
                <w:lang w:eastAsia="en-AU"/>
              </w:rPr>
              <w:t>* quality and nature of facility structure</w:t>
            </w:r>
          </w:p>
          <w:p w14:paraId="06C5654E" w14:textId="323EE09B" w:rsidR="00260557" w:rsidRPr="009C69FA" w:rsidRDefault="00260557" w:rsidP="006C34E5">
            <w:pPr>
              <w:pStyle w:val="DHHStabletext"/>
              <w:spacing w:after="120"/>
              <w:rPr>
                <w:lang w:eastAsia="en-AU"/>
              </w:rPr>
            </w:pPr>
            <w:r w:rsidRPr="009C69FA">
              <w:rPr>
                <w:lang w:eastAsia="en-AU"/>
              </w:rPr>
              <w:t>* staffing/proprietor presence, training, understanding and minimal mobility (if applic)</w:t>
            </w:r>
          </w:p>
        </w:tc>
        <w:tc>
          <w:tcPr>
            <w:tcW w:w="3700" w:type="dxa"/>
            <w:shd w:val="clear" w:color="000000" w:fill="92D050"/>
            <w:hideMark/>
          </w:tcPr>
          <w:p w14:paraId="0B6312DD" w14:textId="77777777" w:rsidR="006C34E5" w:rsidRDefault="00260557" w:rsidP="006C34E5">
            <w:pPr>
              <w:pStyle w:val="DHHStabletext"/>
              <w:spacing w:after="120"/>
              <w:rPr>
                <w:lang w:eastAsia="en-AU"/>
              </w:rPr>
            </w:pPr>
            <w:r w:rsidRPr="009C69FA">
              <w:rPr>
                <w:lang w:eastAsia="en-AU"/>
              </w:rPr>
              <w:t>Strong indication of:</w:t>
            </w:r>
          </w:p>
          <w:p w14:paraId="661846AC" w14:textId="77777777" w:rsidR="006C34E5" w:rsidRDefault="00260557" w:rsidP="006C34E5">
            <w:pPr>
              <w:pStyle w:val="DHHStabletext"/>
              <w:spacing w:after="120"/>
              <w:rPr>
                <w:lang w:eastAsia="en-AU"/>
              </w:rPr>
            </w:pPr>
            <w:r w:rsidRPr="009C69FA">
              <w:rPr>
                <w:lang w:eastAsia="en-AU"/>
              </w:rPr>
              <w:t>* leadership/management onsite</w:t>
            </w:r>
          </w:p>
          <w:p w14:paraId="659A6EE2" w14:textId="77777777" w:rsidR="006C34E5" w:rsidRDefault="00260557" w:rsidP="006C34E5">
            <w:pPr>
              <w:pStyle w:val="DHHStabletext"/>
              <w:spacing w:after="120"/>
              <w:rPr>
                <w:lang w:eastAsia="en-AU"/>
              </w:rPr>
            </w:pPr>
            <w:r w:rsidRPr="009C69FA">
              <w:rPr>
                <w:lang w:eastAsia="en-AU"/>
              </w:rPr>
              <w:t>* external regulatory bodies oversight</w:t>
            </w:r>
          </w:p>
          <w:p w14:paraId="2BED6232" w14:textId="77777777" w:rsidR="006C34E5" w:rsidRDefault="00260557" w:rsidP="006C34E5">
            <w:pPr>
              <w:pStyle w:val="DHHStabletext"/>
              <w:spacing w:after="120"/>
              <w:rPr>
                <w:lang w:eastAsia="en-AU"/>
              </w:rPr>
            </w:pPr>
            <w:r w:rsidRPr="009C69FA">
              <w:rPr>
                <w:lang w:eastAsia="en-AU"/>
              </w:rPr>
              <w:t>* COVID safe plan compliance (if applic)</w:t>
            </w:r>
          </w:p>
          <w:p w14:paraId="5E861610" w14:textId="77777777" w:rsidR="006C34E5" w:rsidRDefault="00260557" w:rsidP="006C34E5">
            <w:pPr>
              <w:pStyle w:val="DHHStabletext"/>
              <w:spacing w:after="120"/>
              <w:rPr>
                <w:lang w:eastAsia="en-AU"/>
              </w:rPr>
            </w:pPr>
            <w:r w:rsidRPr="009C69FA">
              <w:rPr>
                <w:lang w:eastAsia="en-AU"/>
              </w:rPr>
              <w:t>* in the event of an outbreak, can access  resident information quickly</w:t>
            </w:r>
          </w:p>
          <w:p w14:paraId="3EB8FA13" w14:textId="77777777" w:rsidR="006C34E5" w:rsidRDefault="00260557" w:rsidP="006C34E5">
            <w:pPr>
              <w:pStyle w:val="DHHStabletext"/>
              <w:spacing w:after="120"/>
              <w:rPr>
                <w:lang w:eastAsia="en-AU"/>
              </w:rPr>
            </w:pPr>
            <w:r w:rsidRPr="009C69FA">
              <w:rPr>
                <w:lang w:eastAsia="en-AU"/>
              </w:rPr>
              <w:t>* adequate supply of PPE</w:t>
            </w:r>
          </w:p>
          <w:p w14:paraId="5DCC1F3A" w14:textId="57464B06" w:rsidR="00260557" w:rsidRPr="009C69FA" w:rsidRDefault="00260557" w:rsidP="006C34E5">
            <w:pPr>
              <w:pStyle w:val="DHHStabletext"/>
              <w:spacing w:after="120"/>
              <w:rPr>
                <w:lang w:eastAsia="en-AU"/>
              </w:rPr>
            </w:pPr>
            <w:r w:rsidRPr="009C69FA">
              <w:rPr>
                <w:lang w:eastAsia="en-AU"/>
              </w:rPr>
              <w:t>* compliance with public health directions</w:t>
            </w:r>
          </w:p>
        </w:tc>
        <w:tc>
          <w:tcPr>
            <w:tcW w:w="3593" w:type="dxa"/>
            <w:shd w:val="clear" w:color="000000" w:fill="92D050"/>
            <w:hideMark/>
          </w:tcPr>
          <w:p w14:paraId="2A787151" w14:textId="77777777" w:rsidR="006C34E5" w:rsidRDefault="00260557" w:rsidP="006C34E5">
            <w:pPr>
              <w:pStyle w:val="DHHStabletext"/>
              <w:spacing w:after="120"/>
              <w:rPr>
                <w:lang w:eastAsia="en-AU"/>
              </w:rPr>
            </w:pPr>
            <w:r w:rsidRPr="009C69FA">
              <w:rPr>
                <w:lang w:eastAsia="en-AU"/>
              </w:rPr>
              <w:t>Strong indication of:</w:t>
            </w:r>
          </w:p>
          <w:p w14:paraId="5957758A" w14:textId="77777777" w:rsidR="006C34E5" w:rsidRDefault="00260557" w:rsidP="006C34E5">
            <w:pPr>
              <w:pStyle w:val="DHHStabletext"/>
              <w:spacing w:after="120"/>
              <w:rPr>
                <w:lang w:eastAsia="en-AU"/>
              </w:rPr>
            </w:pPr>
            <w:r w:rsidRPr="009C69FA">
              <w:rPr>
                <w:lang w:eastAsia="en-AU"/>
              </w:rPr>
              <w:t>* Residents/tenants being equipped, engaged and informed (taking into consideration CALD and literacy)</w:t>
            </w:r>
          </w:p>
          <w:p w14:paraId="3D2A1ABE" w14:textId="77777777" w:rsidR="006C34E5" w:rsidRDefault="00260557" w:rsidP="006C34E5">
            <w:pPr>
              <w:pStyle w:val="DHHStabletext"/>
              <w:spacing w:after="120"/>
              <w:rPr>
                <w:lang w:eastAsia="en-AU"/>
              </w:rPr>
            </w:pPr>
            <w:r w:rsidRPr="009C69FA">
              <w:rPr>
                <w:lang w:eastAsia="en-AU"/>
              </w:rPr>
              <w:t>* Residents with low complex needs</w:t>
            </w:r>
          </w:p>
          <w:p w14:paraId="7AD6CF41" w14:textId="73591FE9" w:rsidR="00260557" w:rsidRPr="009C69FA" w:rsidRDefault="00260557" w:rsidP="006C34E5">
            <w:pPr>
              <w:pStyle w:val="DHHStabletext"/>
              <w:spacing w:after="120"/>
              <w:rPr>
                <w:lang w:eastAsia="en-AU"/>
              </w:rPr>
            </w:pPr>
            <w:r w:rsidRPr="009C69FA">
              <w:rPr>
                <w:lang w:eastAsia="en-AU"/>
              </w:rPr>
              <w:t>* Residents having minimal requirements for additional supports</w:t>
            </w:r>
          </w:p>
        </w:tc>
      </w:tr>
      <w:tr w:rsidR="00260557" w:rsidRPr="009C69FA" w14:paraId="09FE661B" w14:textId="77777777" w:rsidTr="006C34E5">
        <w:trPr>
          <w:trHeight w:val="1908"/>
        </w:trPr>
        <w:tc>
          <w:tcPr>
            <w:tcW w:w="3480" w:type="dxa"/>
            <w:shd w:val="clear" w:color="000000" w:fill="FFC000"/>
            <w:hideMark/>
          </w:tcPr>
          <w:p w14:paraId="29ACE8C0" w14:textId="77777777" w:rsidR="006C34E5" w:rsidRDefault="00260557" w:rsidP="006C34E5">
            <w:pPr>
              <w:pStyle w:val="DHHStabletext"/>
              <w:spacing w:after="120"/>
              <w:rPr>
                <w:lang w:eastAsia="en-AU"/>
              </w:rPr>
            </w:pPr>
            <w:r w:rsidRPr="009C69FA">
              <w:rPr>
                <w:lang w:eastAsia="en-AU"/>
              </w:rPr>
              <w:t>Some indication of:</w:t>
            </w:r>
          </w:p>
          <w:p w14:paraId="4C1AC63C" w14:textId="77777777" w:rsidR="006C34E5" w:rsidRDefault="00260557" w:rsidP="006C34E5">
            <w:pPr>
              <w:pStyle w:val="DHHStabletext"/>
              <w:spacing w:after="120"/>
              <w:rPr>
                <w:lang w:eastAsia="en-AU"/>
              </w:rPr>
            </w:pPr>
            <w:r w:rsidRPr="009C69FA">
              <w:rPr>
                <w:lang w:eastAsia="en-AU"/>
              </w:rPr>
              <w:t>* ability for residents/tenants to isolate</w:t>
            </w:r>
          </w:p>
          <w:p w14:paraId="2245D7DE" w14:textId="77777777" w:rsidR="006C34E5" w:rsidRDefault="00260557" w:rsidP="006C34E5">
            <w:pPr>
              <w:pStyle w:val="DHHStabletext"/>
              <w:spacing w:after="120"/>
              <w:rPr>
                <w:lang w:eastAsia="en-AU"/>
              </w:rPr>
            </w:pPr>
            <w:r w:rsidRPr="009C69FA">
              <w:rPr>
                <w:lang w:eastAsia="en-AU"/>
              </w:rPr>
              <w:t>* quality and nature of facility structure</w:t>
            </w:r>
          </w:p>
          <w:p w14:paraId="4D4BAFD9" w14:textId="6DDBBF46" w:rsidR="00260557" w:rsidRPr="009C69FA" w:rsidRDefault="00260557" w:rsidP="006C34E5">
            <w:pPr>
              <w:pStyle w:val="DHHStabletext"/>
              <w:spacing w:after="120"/>
              <w:rPr>
                <w:lang w:eastAsia="en-AU"/>
              </w:rPr>
            </w:pPr>
            <w:r w:rsidRPr="009C69FA">
              <w:rPr>
                <w:lang w:eastAsia="en-AU"/>
              </w:rPr>
              <w:t>* staffing/proprietor presence, training, understanding and minimal mobility (if applic)</w:t>
            </w:r>
          </w:p>
        </w:tc>
        <w:tc>
          <w:tcPr>
            <w:tcW w:w="3700" w:type="dxa"/>
            <w:shd w:val="clear" w:color="000000" w:fill="FFC000"/>
            <w:hideMark/>
          </w:tcPr>
          <w:p w14:paraId="1322CA17" w14:textId="77777777" w:rsidR="006C34E5" w:rsidRDefault="00260557" w:rsidP="006C34E5">
            <w:pPr>
              <w:pStyle w:val="DHHStabletext"/>
              <w:spacing w:after="120"/>
              <w:rPr>
                <w:lang w:eastAsia="en-AU"/>
              </w:rPr>
            </w:pPr>
            <w:r w:rsidRPr="009C69FA">
              <w:rPr>
                <w:lang w:eastAsia="en-AU"/>
              </w:rPr>
              <w:t>Some indication of:</w:t>
            </w:r>
            <w:r w:rsidRPr="009C69FA">
              <w:rPr>
                <w:lang w:eastAsia="en-AU"/>
              </w:rPr>
              <w:br/>
              <w:t>* leadership/management onsite</w:t>
            </w:r>
          </w:p>
          <w:p w14:paraId="00055154" w14:textId="77777777" w:rsidR="006C34E5" w:rsidRDefault="00260557" w:rsidP="006C34E5">
            <w:pPr>
              <w:pStyle w:val="DHHStabletext"/>
              <w:spacing w:after="120"/>
              <w:rPr>
                <w:lang w:eastAsia="en-AU"/>
              </w:rPr>
            </w:pPr>
            <w:r w:rsidRPr="009C69FA">
              <w:rPr>
                <w:lang w:eastAsia="en-AU"/>
              </w:rPr>
              <w:t>* external regulatory bodies oversight</w:t>
            </w:r>
            <w:r w:rsidRPr="009C69FA">
              <w:rPr>
                <w:lang w:eastAsia="en-AU"/>
              </w:rPr>
              <w:br/>
              <w:t>* COVID safe plan compliance (if applicable)</w:t>
            </w:r>
          </w:p>
          <w:p w14:paraId="71329FA8" w14:textId="3E23E632" w:rsidR="006C34E5" w:rsidRDefault="00260557" w:rsidP="006C34E5">
            <w:pPr>
              <w:pStyle w:val="DHHStabletext"/>
              <w:spacing w:after="120"/>
              <w:rPr>
                <w:lang w:eastAsia="en-AU"/>
              </w:rPr>
            </w:pPr>
            <w:r w:rsidRPr="009C69FA">
              <w:rPr>
                <w:lang w:eastAsia="en-AU"/>
              </w:rPr>
              <w:t>* in the event of an outbreak, can access resident information quickly</w:t>
            </w:r>
          </w:p>
          <w:p w14:paraId="26583B7F" w14:textId="77777777" w:rsidR="006C34E5" w:rsidRDefault="00260557" w:rsidP="006C34E5">
            <w:pPr>
              <w:pStyle w:val="DHHStabletext"/>
              <w:spacing w:after="120"/>
              <w:rPr>
                <w:lang w:eastAsia="en-AU"/>
              </w:rPr>
            </w:pPr>
            <w:r w:rsidRPr="009C69FA">
              <w:rPr>
                <w:lang w:eastAsia="en-AU"/>
              </w:rPr>
              <w:t>* adequate supply of PPE</w:t>
            </w:r>
          </w:p>
          <w:p w14:paraId="6BA5ECCC" w14:textId="5853EA81" w:rsidR="00260557" w:rsidRPr="009C69FA" w:rsidRDefault="00260557" w:rsidP="006C34E5">
            <w:pPr>
              <w:pStyle w:val="DHHStabletext"/>
              <w:spacing w:after="120"/>
              <w:rPr>
                <w:lang w:eastAsia="en-AU"/>
              </w:rPr>
            </w:pPr>
            <w:r w:rsidRPr="009C69FA">
              <w:rPr>
                <w:lang w:eastAsia="en-AU"/>
              </w:rPr>
              <w:t>* compliance with public health directions</w:t>
            </w:r>
          </w:p>
        </w:tc>
        <w:tc>
          <w:tcPr>
            <w:tcW w:w="3593" w:type="dxa"/>
            <w:shd w:val="clear" w:color="000000" w:fill="FFC000"/>
            <w:hideMark/>
          </w:tcPr>
          <w:p w14:paraId="2AC80C6C" w14:textId="77777777" w:rsidR="006C34E5" w:rsidRDefault="00260557" w:rsidP="006C34E5">
            <w:pPr>
              <w:pStyle w:val="DHHStabletext"/>
              <w:spacing w:after="120"/>
              <w:rPr>
                <w:lang w:eastAsia="en-AU"/>
              </w:rPr>
            </w:pPr>
            <w:r w:rsidRPr="009C69FA">
              <w:rPr>
                <w:lang w:eastAsia="en-AU"/>
              </w:rPr>
              <w:t>Some indication of:</w:t>
            </w:r>
          </w:p>
          <w:p w14:paraId="62350396" w14:textId="77777777" w:rsidR="006C34E5" w:rsidRDefault="00260557" w:rsidP="006C34E5">
            <w:pPr>
              <w:pStyle w:val="DHHStabletext"/>
              <w:spacing w:after="120"/>
              <w:rPr>
                <w:lang w:eastAsia="en-AU"/>
              </w:rPr>
            </w:pPr>
            <w:r w:rsidRPr="009C69FA">
              <w:rPr>
                <w:lang w:eastAsia="en-AU"/>
              </w:rPr>
              <w:t>* Residents/tenants being equipped, engaged and informed (taking into consideration CALD and literacy)</w:t>
            </w:r>
          </w:p>
          <w:p w14:paraId="3DEEA18E" w14:textId="77777777" w:rsidR="006C34E5" w:rsidRDefault="00260557" w:rsidP="006C34E5">
            <w:pPr>
              <w:pStyle w:val="DHHStabletext"/>
              <w:spacing w:after="120"/>
              <w:rPr>
                <w:lang w:eastAsia="en-AU"/>
              </w:rPr>
            </w:pPr>
            <w:r w:rsidRPr="009C69FA">
              <w:rPr>
                <w:lang w:eastAsia="en-AU"/>
              </w:rPr>
              <w:t>* Residents with complex needs</w:t>
            </w:r>
          </w:p>
          <w:p w14:paraId="577A4D90" w14:textId="3245E1A7" w:rsidR="00260557" w:rsidRPr="009C69FA" w:rsidRDefault="00260557" w:rsidP="006C34E5">
            <w:pPr>
              <w:pStyle w:val="DHHStabletext"/>
              <w:spacing w:after="120"/>
              <w:rPr>
                <w:lang w:eastAsia="en-AU"/>
              </w:rPr>
            </w:pPr>
            <w:r w:rsidRPr="009C69FA">
              <w:rPr>
                <w:lang w:eastAsia="en-AU"/>
              </w:rPr>
              <w:t>* Residents having requirements for additional supports</w:t>
            </w:r>
          </w:p>
        </w:tc>
      </w:tr>
      <w:tr w:rsidR="00260557" w:rsidRPr="009C69FA" w14:paraId="681E4F3E" w14:textId="77777777" w:rsidTr="006C34E5">
        <w:trPr>
          <w:trHeight w:val="2193"/>
        </w:trPr>
        <w:tc>
          <w:tcPr>
            <w:tcW w:w="3480" w:type="dxa"/>
            <w:shd w:val="clear" w:color="000000" w:fill="FF0000"/>
            <w:hideMark/>
          </w:tcPr>
          <w:p w14:paraId="479A4582" w14:textId="77777777" w:rsidR="006C34E5" w:rsidRPr="00993CE3" w:rsidRDefault="00260557" w:rsidP="006C34E5">
            <w:pPr>
              <w:pStyle w:val="DHHStabletext"/>
              <w:spacing w:after="120"/>
              <w:rPr>
                <w:lang w:eastAsia="en-AU"/>
              </w:rPr>
            </w:pPr>
            <w:r w:rsidRPr="00993CE3">
              <w:rPr>
                <w:lang w:eastAsia="en-AU"/>
              </w:rPr>
              <w:t>Minimal indication of:</w:t>
            </w:r>
          </w:p>
          <w:p w14:paraId="1328CB3F" w14:textId="77777777" w:rsidR="006C34E5" w:rsidRPr="00993CE3" w:rsidRDefault="00260557" w:rsidP="006C34E5">
            <w:pPr>
              <w:pStyle w:val="DHHStabletext"/>
              <w:spacing w:after="120"/>
              <w:rPr>
                <w:lang w:eastAsia="en-AU"/>
              </w:rPr>
            </w:pPr>
            <w:r w:rsidRPr="00993CE3">
              <w:rPr>
                <w:lang w:eastAsia="en-AU"/>
              </w:rPr>
              <w:t>* ability for residents/tenants to isolate</w:t>
            </w:r>
          </w:p>
          <w:p w14:paraId="3B5FBB03" w14:textId="77777777" w:rsidR="006C34E5" w:rsidRPr="00993CE3" w:rsidRDefault="00260557" w:rsidP="006C34E5">
            <w:pPr>
              <w:pStyle w:val="DHHStabletext"/>
              <w:spacing w:after="120"/>
              <w:rPr>
                <w:lang w:eastAsia="en-AU"/>
              </w:rPr>
            </w:pPr>
            <w:r w:rsidRPr="00993CE3">
              <w:rPr>
                <w:lang w:eastAsia="en-AU"/>
              </w:rPr>
              <w:t>* quality and nature of facility structure</w:t>
            </w:r>
          </w:p>
          <w:p w14:paraId="7F9FD6A6" w14:textId="5B893FC1" w:rsidR="00260557" w:rsidRPr="00993CE3" w:rsidRDefault="00260557" w:rsidP="006C34E5">
            <w:pPr>
              <w:pStyle w:val="DHHStabletext"/>
              <w:spacing w:after="120"/>
              <w:rPr>
                <w:lang w:eastAsia="en-AU"/>
              </w:rPr>
            </w:pPr>
            <w:r w:rsidRPr="00993CE3">
              <w:rPr>
                <w:lang w:eastAsia="en-AU"/>
              </w:rPr>
              <w:t>* staffing/proprietor presence, training, understanding and minimal mobility</w:t>
            </w:r>
          </w:p>
        </w:tc>
        <w:tc>
          <w:tcPr>
            <w:tcW w:w="3700" w:type="dxa"/>
            <w:shd w:val="clear" w:color="000000" w:fill="FF0000"/>
            <w:hideMark/>
          </w:tcPr>
          <w:p w14:paraId="06FDA93C" w14:textId="77777777" w:rsidR="006C34E5" w:rsidRPr="00993CE3" w:rsidRDefault="00260557" w:rsidP="006C34E5">
            <w:pPr>
              <w:pStyle w:val="DHHStabletext"/>
              <w:spacing w:after="120"/>
              <w:rPr>
                <w:lang w:eastAsia="en-AU"/>
              </w:rPr>
            </w:pPr>
            <w:r w:rsidRPr="00993CE3">
              <w:rPr>
                <w:lang w:eastAsia="en-AU"/>
              </w:rPr>
              <w:t>Minimal indication of:</w:t>
            </w:r>
          </w:p>
          <w:p w14:paraId="46BDAD4C" w14:textId="77777777" w:rsidR="006C34E5" w:rsidRPr="00993CE3" w:rsidRDefault="00260557" w:rsidP="006C34E5">
            <w:pPr>
              <w:pStyle w:val="DHHStabletext"/>
              <w:spacing w:after="120"/>
              <w:rPr>
                <w:lang w:eastAsia="en-AU"/>
              </w:rPr>
            </w:pPr>
            <w:r w:rsidRPr="00993CE3">
              <w:rPr>
                <w:lang w:eastAsia="en-AU"/>
              </w:rPr>
              <w:t>* leadership/management onsite</w:t>
            </w:r>
          </w:p>
          <w:p w14:paraId="078C3265" w14:textId="77777777" w:rsidR="006C34E5" w:rsidRPr="00993CE3" w:rsidRDefault="00260557" w:rsidP="006C34E5">
            <w:pPr>
              <w:pStyle w:val="DHHStabletext"/>
              <w:spacing w:after="120"/>
              <w:rPr>
                <w:lang w:eastAsia="en-AU"/>
              </w:rPr>
            </w:pPr>
            <w:r w:rsidRPr="00993CE3">
              <w:rPr>
                <w:lang w:eastAsia="en-AU"/>
              </w:rPr>
              <w:t>* external regulatory bodies oversight</w:t>
            </w:r>
          </w:p>
          <w:p w14:paraId="3F821FAE" w14:textId="77777777" w:rsidR="006C34E5" w:rsidRPr="00993CE3" w:rsidRDefault="00260557" w:rsidP="006C34E5">
            <w:pPr>
              <w:pStyle w:val="DHHStabletext"/>
              <w:spacing w:after="120"/>
              <w:rPr>
                <w:lang w:eastAsia="en-AU"/>
              </w:rPr>
            </w:pPr>
            <w:r w:rsidRPr="00993CE3">
              <w:rPr>
                <w:lang w:eastAsia="en-AU"/>
              </w:rPr>
              <w:t>* COVID safe plan compliance (if applicable)</w:t>
            </w:r>
          </w:p>
          <w:p w14:paraId="0C2C056E" w14:textId="136C12D3" w:rsidR="006C34E5" w:rsidRPr="00993CE3" w:rsidRDefault="00260557" w:rsidP="006C34E5">
            <w:pPr>
              <w:pStyle w:val="DHHStabletext"/>
              <w:spacing w:after="120"/>
              <w:rPr>
                <w:lang w:eastAsia="en-AU"/>
              </w:rPr>
            </w:pPr>
            <w:r w:rsidRPr="00993CE3">
              <w:rPr>
                <w:lang w:eastAsia="en-AU"/>
              </w:rPr>
              <w:t>* in the event of an outbreak, can access resident information quickly</w:t>
            </w:r>
          </w:p>
          <w:p w14:paraId="3583915B" w14:textId="77777777" w:rsidR="006C34E5" w:rsidRPr="00993CE3" w:rsidRDefault="00260557" w:rsidP="006C34E5">
            <w:pPr>
              <w:pStyle w:val="DHHStabletext"/>
              <w:spacing w:after="120"/>
              <w:rPr>
                <w:lang w:eastAsia="en-AU"/>
              </w:rPr>
            </w:pPr>
            <w:r w:rsidRPr="00993CE3">
              <w:rPr>
                <w:lang w:eastAsia="en-AU"/>
              </w:rPr>
              <w:t>* adequate supply of PPE</w:t>
            </w:r>
          </w:p>
          <w:p w14:paraId="31FA8B07" w14:textId="11744B90" w:rsidR="00260557" w:rsidRPr="00993CE3" w:rsidRDefault="00260557" w:rsidP="006C34E5">
            <w:pPr>
              <w:pStyle w:val="DHHStabletext"/>
              <w:spacing w:after="120"/>
              <w:rPr>
                <w:lang w:eastAsia="en-AU"/>
              </w:rPr>
            </w:pPr>
            <w:r w:rsidRPr="00993CE3">
              <w:rPr>
                <w:lang w:eastAsia="en-AU"/>
              </w:rPr>
              <w:t>* compliance with public health directions</w:t>
            </w:r>
          </w:p>
        </w:tc>
        <w:tc>
          <w:tcPr>
            <w:tcW w:w="3593" w:type="dxa"/>
            <w:shd w:val="clear" w:color="000000" w:fill="FF0000"/>
            <w:hideMark/>
          </w:tcPr>
          <w:p w14:paraId="10C73EA5" w14:textId="77777777" w:rsidR="006C34E5" w:rsidRPr="00993CE3" w:rsidRDefault="00260557" w:rsidP="006C34E5">
            <w:pPr>
              <w:pStyle w:val="DHHStabletext"/>
              <w:spacing w:after="120"/>
              <w:rPr>
                <w:lang w:eastAsia="en-AU"/>
              </w:rPr>
            </w:pPr>
            <w:r w:rsidRPr="00993CE3">
              <w:rPr>
                <w:lang w:eastAsia="en-AU"/>
              </w:rPr>
              <w:t>Minimal indication of:</w:t>
            </w:r>
          </w:p>
          <w:p w14:paraId="6AF4D022" w14:textId="77777777" w:rsidR="006C34E5" w:rsidRPr="00993CE3" w:rsidRDefault="00260557" w:rsidP="006C34E5">
            <w:pPr>
              <w:pStyle w:val="DHHStabletext"/>
              <w:spacing w:after="120"/>
              <w:rPr>
                <w:lang w:eastAsia="en-AU"/>
              </w:rPr>
            </w:pPr>
            <w:r w:rsidRPr="00993CE3">
              <w:rPr>
                <w:lang w:eastAsia="en-AU"/>
              </w:rPr>
              <w:t>* Residents/tenants being equipped, engaged and informed (taking into consideration CALD and literacy)</w:t>
            </w:r>
          </w:p>
          <w:p w14:paraId="2DBF578E" w14:textId="77777777" w:rsidR="006C34E5" w:rsidRPr="00993CE3" w:rsidRDefault="00260557" w:rsidP="006C34E5">
            <w:pPr>
              <w:pStyle w:val="DHHStabletext"/>
              <w:spacing w:after="120"/>
              <w:rPr>
                <w:lang w:eastAsia="en-AU"/>
              </w:rPr>
            </w:pPr>
            <w:r w:rsidRPr="00993CE3">
              <w:rPr>
                <w:lang w:eastAsia="en-AU"/>
              </w:rPr>
              <w:t>* Residents with low complex needs</w:t>
            </w:r>
          </w:p>
          <w:p w14:paraId="73B45498" w14:textId="039CB458" w:rsidR="00260557" w:rsidRPr="00993CE3" w:rsidRDefault="00260557" w:rsidP="006C34E5">
            <w:pPr>
              <w:pStyle w:val="DHHStabletext"/>
              <w:spacing w:after="120"/>
              <w:rPr>
                <w:lang w:eastAsia="en-AU"/>
              </w:rPr>
            </w:pPr>
            <w:r w:rsidRPr="00993CE3">
              <w:rPr>
                <w:lang w:eastAsia="en-AU"/>
              </w:rPr>
              <w:t>* Residents having minimal requirements for additional supports</w:t>
            </w:r>
          </w:p>
        </w:tc>
      </w:tr>
    </w:tbl>
    <w:p w14:paraId="01C1ACF6" w14:textId="6C32B662" w:rsidR="00931F10" w:rsidRDefault="00931F10" w:rsidP="00260557">
      <w:pPr>
        <w:spacing w:after="160" w:line="259" w:lineRule="auto"/>
        <w:rPr>
          <w:rFonts w:cs="Arial"/>
          <w:szCs w:val="21"/>
          <w:u w:val="dotted"/>
        </w:rPr>
      </w:pPr>
    </w:p>
    <w:p w14:paraId="708BC21D" w14:textId="2F4AA39B" w:rsidR="00931F10" w:rsidRDefault="00931F10">
      <w:pPr>
        <w:spacing w:after="0" w:line="240" w:lineRule="auto"/>
        <w:rPr>
          <w:rFonts w:cs="Arial"/>
          <w:szCs w:val="21"/>
          <w:u w:val="dotted"/>
        </w:rPr>
      </w:pPr>
      <w:r>
        <w:rPr>
          <w:rFonts w:cs="Arial"/>
          <w:szCs w:val="21"/>
          <w:u w:val="dotted"/>
        </w:rPr>
        <w:br w:type="page"/>
      </w:r>
    </w:p>
    <w:p w14:paraId="2AEBAFEB" w14:textId="3297E128" w:rsidR="00DB7F89" w:rsidRDefault="00384990" w:rsidP="00DB7F89">
      <w:pPr>
        <w:pStyle w:val="Heading4"/>
        <w:rPr>
          <w:lang w:eastAsia="en-AU"/>
        </w:rPr>
      </w:pPr>
      <w:r w:rsidRPr="001A387B">
        <w:rPr>
          <w:lang w:eastAsia="en-AU"/>
        </w:rPr>
        <w:lastRenderedPageBreak/>
        <w:t>Assignment of rating based on above criteria</w:t>
      </w:r>
    </w:p>
    <w:p w14:paraId="5D734A06" w14:textId="6469A041" w:rsidR="00DB7F89" w:rsidRDefault="00DB7F89" w:rsidP="00DB7F89">
      <w:pPr>
        <w:pStyle w:val="DHHSbody"/>
        <w:rPr>
          <w:rFonts w:cs="Arial"/>
          <w:szCs w:val="21"/>
          <w:u w:val="dotted"/>
        </w:rPr>
      </w:pPr>
      <w:r w:rsidRPr="001A387B">
        <w:rPr>
          <w:lang w:eastAsia="en-AU"/>
        </w:rPr>
        <w:t>2 different risk m</w:t>
      </w:r>
      <w:r>
        <w:rPr>
          <w:lang w:eastAsia="en-AU"/>
        </w:rPr>
        <w:t>e</w:t>
      </w:r>
      <w:r w:rsidRPr="001A387B">
        <w:rPr>
          <w:lang w:eastAsia="en-AU"/>
        </w:rPr>
        <w:t>trics to assist with assignment of an overall rating - if you use either one, the overall risk will be the same.</w:t>
      </w:r>
    </w:p>
    <w:tbl>
      <w:tblPr>
        <w:tblW w:w="96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Caption w:val="Risk rating definition"/>
        <w:tblDescription w:val="High: Automatic rating – high&#10;- For those properties that refuse access/engagement&#10;- High rise public housing&#10;Medium:&#10;- No high risk ratings and majority are medium&#10;Low: No high risk ratings and at least 2 are low risk"/>
      </w:tblPr>
      <w:tblGrid>
        <w:gridCol w:w="3047"/>
        <w:gridCol w:w="6647"/>
      </w:tblGrid>
      <w:tr w:rsidR="00DB7F89" w:rsidRPr="001A387B" w14:paraId="4158BD21" w14:textId="77777777" w:rsidTr="00DB7F89">
        <w:trPr>
          <w:trHeight w:val="713"/>
        </w:trPr>
        <w:tc>
          <w:tcPr>
            <w:tcW w:w="3047" w:type="dxa"/>
            <w:shd w:val="clear" w:color="000000" w:fill="FF3F3F"/>
            <w:noWrap/>
            <w:vAlign w:val="center"/>
            <w:hideMark/>
          </w:tcPr>
          <w:p w14:paraId="3F2F81B9" w14:textId="77777777" w:rsidR="00DB7F89" w:rsidRPr="001A387B" w:rsidRDefault="00DB7F89" w:rsidP="00DB7F89">
            <w:pPr>
              <w:pStyle w:val="DHHStabletext"/>
              <w:rPr>
                <w:lang w:eastAsia="en-AU"/>
              </w:rPr>
            </w:pPr>
            <w:r w:rsidRPr="00993CE3">
              <w:rPr>
                <w:lang w:eastAsia="en-AU"/>
              </w:rPr>
              <w:t>High</w:t>
            </w:r>
          </w:p>
        </w:tc>
        <w:tc>
          <w:tcPr>
            <w:tcW w:w="6647" w:type="dxa"/>
            <w:shd w:val="clear" w:color="auto" w:fill="auto"/>
            <w:vAlign w:val="center"/>
            <w:hideMark/>
          </w:tcPr>
          <w:p w14:paraId="66FBEE67" w14:textId="15F8DEA8" w:rsidR="00DB7F89" w:rsidRDefault="00DB7F89" w:rsidP="00DB7F89">
            <w:pPr>
              <w:pStyle w:val="DHHStabletext"/>
              <w:rPr>
                <w:rStyle w:val="Strong"/>
              </w:rPr>
            </w:pPr>
            <w:r w:rsidRPr="00DB7F89">
              <w:rPr>
                <w:rStyle w:val="Strong"/>
              </w:rPr>
              <w:t xml:space="preserve">Automatic rating </w:t>
            </w:r>
            <w:r>
              <w:rPr>
                <w:rStyle w:val="Strong"/>
              </w:rPr>
              <w:t>–</w:t>
            </w:r>
            <w:r w:rsidRPr="00DB7F89">
              <w:rPr>
                <w:rStyle w:val="Strong"/>
              </w:rPr>
              <w:t xml:space="preserve"> high</w:t>
            </w:r>
          </w:p>
          <w:p w14:paraId="6F721ABF" w14:textId="77777777" w:rsidR="00DB7F89" w:rsidRDefault="00DB7F89" w:rsidP="00DB7F89">
            <w:pPr>
              <w:pStyle w:val="DHHStabletext"/>
            </w:pPr>
            <w:r w:rsidRPr="00DB7F89">
              <w:t>* For those properties that refuse access/engagement</w:t>
            </w:r>
          </w:p>
          <w:p w14:paraId="1C905AEB" w14:textId="37B680A5" w:rsidR="00DB7F89" w:rsidRPr="00DB7F89" w:rsidRDefault="00DB7F89" w:rsidP="00DB7F89">
            <w:pPr>
              <w:pStyle w:val="DHHStabletext"/>
            </w:pPr>
            <w:r w:rsidRPr="00DB7F89">
              <w:t>* High rise public housing</w:t>
            </w:r>
          </w:p>
        </w:tc>
      </w:tr>
      <w:tr w:rsidR="00DB7F89" w:rsidRPr="001A387B" w14:paraId="02580DDD" w14:textId="77777777" w:rsidTr="00DB7F89">
        <w:trPr>
          <w:trHeight w:val="275"/>
        </w:trPr>
        <w:tc>
          <w:tcPr>
            <w:tcW w:w="3047" w:type="dxa"/>
            <w:shd w:val="clear" w:color="000000" w:fill="FFD13F"/>
            <w:vAlign w:val="center"/>
            <w:hideMark/>
          </w:tcPr>
          <w:p w14:paraId="045C72A9" w14:textId="77777777" w:rsidR="00DB7F89" w:rsidRPr="001A387B" w:rsidRDefault="00DB7F89" w:rsidP="00DB7F89">
            <w:pPr>
              <w:pStyle w:val="DHHStabletext"/>
              <w:rPr>
                <w:color w:val="000000"/>
                <w:lang w:eastAsia="en-AU"/>
              </w:rPr>
            </w:pPr>
            <w:r w:rsidRPr="001A387B">
              <w:rPr>
                <w:color w:val="000000"/>
                <w:lang w:eastAsia="en-AU"/>
              </w:rPr>
              <w:t>Medium</w:t>
            </w:r>
          </w:p>
        </w:tc>
        <w:tc>
          <w:tcPr>
            <w:tcW w:w="6647" w:type="dxa"/>
            <w:shd w:val="clear" w:color="auto" w:fill="auto"/>
            <w:vAlign w:val="center"/>
            <w:hideMark/>
          </w:tcPr>
          <w:p w14:paraId="69A75E70" w14:textId="77777777" w:rsidR="00DB7F89" w:rsidRPr="00DB7F89" w:rsidRDefault="00DB7F89" w:rsidP="00DB7F89">
            <w:pPr>
              <w:pStyle w:val="DHHStabletext"/>
            </w:pPr>
            <w:r w:rsidRPr="00DB7F89">
              <w:t>* No high risk ratings and majority are medium</w:t>
            </w:r>
          </w:p>
        </w:tc>
      </w:tr>
      <w:tr w:rsidR="00DB7F89" w:rsidRPr="001A387B" w14:paraId="1E3EB450" w14:textId="77777777" w:rsidTr="00DB7F89">
        <w:trPr>
          <w:trHeight w:val="70"/>
        </w:trPr>
        <w:tc>
          <w:tcPr>
            <w:tcW w:w="3047" w:type="dxa"/>
            <w:shd w:val="clear" w:color="000000" w:fill="AFDC7E"/>
            <w:vAlign w:val="center"/>
            <w:hideMark/>
          </w:tcPr>
          <w:p w14:paraId="07189614" w14:textId="77777777" w:rsidR="00DB7F89" w:rsidRPr="001A387B" w:rsidRDefault="00DB7F89" w:rsidP="00DB7F89">
            <w:pPr>
              <w:pStyle w:val="DHHStabletext"/>
              <w:rPr>
                <w:color w:val="000000"/>
                <w:lang w:eastAsia="en-AU"/>
              </w:rPr>
            </w:pPr>
            <w:r w:rsidRPr="001A387B">
              <w:rPr>
                <w:color w:val="000000"/>
                <w:lang w:eastAsia="en-AU"/>
              </w:rPr>
              <w:t>Low</w:t>
            </w:r>
          </w:p>
        </w:tc>
        <w:tc>
          <w:tcPr>
            <w:tcW w:w="6647" w:type="dxa"/>
            <w:shd w:val="clear" w:color="auto" w:fill="auto"/>
            <w:vAlign w:val="center"/>
            <w:hideMark/>
          </w:tcPr>
          <w:p w14:paraId="554238FC" w14:textId="282F0778" w:rsidR="00DB7F89" w:rsidRPr="00DB7F89" w:rsidRDefault="00DB7F89" w:rsidP="00DB7F89">
            <w:pPr>
              <w:pStyle w:val="DHHStabletext"/>
            </w:pPr>
            <w:r w:rsidRPr="00DB7F89">
              <w:t>* No high risk ratings and at least 2 are low risk</w:t>
            </w:r>
          </w:p>
        </w:tc>
      </w:tr>
    </w:tbl>
    <w:p w14:paraId="4335CED4" w14:textId="77777777" w:rsidR="00DB7F89" w:rsidRDefault="00DB7F89"/>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8" w:type="dxa"/>
          <w:bottom w:w="68" w:type="dxa"/>
        </w:tblCellMar>
        <w:tblLook w:val="04A0" w:firstRow="1" w:lastRow="0" w:firstColumn="1" w:lastColumn="0" w:noHBand="0" w:noVBand="1"/>
        <w:tblCaption w:val="Risk rating"/>
      </w:tblPr>
      <w:tblGrid>
        <w:gridCol w:w="3047"/>
        <w:gridCol w:w="3229"/>
        <w:gridCol w:w="3418"/>
        <w:gridCol w:w="1079"/>
      </w:tblGrid>
      <w:tr w:rsidR="00931F10" w:rsidRPr="001A387B" w14:paraId="7D241591" w14:textId="77777777" w:rsidTr="00DB7F89">
        <w:trPr>
          <w:trHeight w:val="300"/>
        </w:trPr>
        <w:tc>
          <w:tcPr>
            <w:tcW w:w="3047" w:type="dxa"/>
            <w:shd w:val="clear" w:color="auto" w:fill="auto"/>
            <w:noWrap/>
            <w:hideMark/>
          </w:tcPr>
          <w:p w14:paraId="5C4D9C5D" w14:textId="77777777" w:rsidR="00931F10" w:rsidRPr="00DB7F89" w:rsidRDefault="00931F10" w:rsidP="00DB7F89">
            <w:pPr>
              <w:pStyle w:val="DHHStabletext"/>
              <w:rPr>
                <w:rFonts w:cs="Arial"/>
                <w:lang w:eastAsia="en-AU"/>
              </w:rPr>
            </w:pPr>
          </w:p>
        </w:tc>
        <w:tc>
          <w:tcPr>
            <w:tcW w:w="3229" w:type="dxa"/>
            <w:shd w:val="clear" w:color="auto" w:fill="auto"/>
            <w:noWrap/>
            <w:hideMark/>
          </w:tcPr>
          <w:p w14:paraId="28748C7B" w14:textId="77777777" w:rsidR="00931F10" w:rsidRPr="00DB7F89" w:rsidRDefault="00931F10" w:rsidP="00DB7F89">
            <w:pPr>
              <w:pStyle w:val="DHHStabletext"/>
              <w:rPr>
                <w:rFonts w:cs="Arial"/>
                <w:lang w:eastAsia="en-AU"/>
              </w:rPr>
            </w:pPr>
          </w:p>
        </w:tc>
        <w:tc>
          <w:tcPr>
            <w:tcW w:w="3418" w:type="dxa"/>
            <w:shd w:val="clear" w:color="auto" w:fill="auto"/>
            <w:noWrap/>
            <w:hideMark/>
          </w:tcPr>
          <w:p w14:paraId="1A3E055B" w14:textId="77777777" w:rsidR="00931F10" w:rsidRPr="00DB7F89" w:rsidRDefault="00931F10" w:rsidP="00DB7F89">
            <w:pPr>
              <w:pStyle w:val="DHHStabletext"/>
              <w:rPr>
                <w:rFonts w:cs="Arial"/>
                <w:lang w:eastAsia="en-AU"/>
              </w:rPr>
            </w:pPr>
          </w:p>
        </w:tc>
        <w:tc>
          <w:tcPr>
            <w:tcW w:w="1079" w:type="dxa"/>
            <w:shd w:val="clear" w:color="auto" w:fill="auto"/>
            <w:noWrap/>
            <w:hideMark/>
          </w:tcPr>
          <w:p w14:paraId="58603026" w14:textId="77777777" w:rsidR="00931F10" w:rsidRPr="00DB7F89" w:rsidRDefault="00931F10" w:rsidP="00175748">
            <w:pPr>
              <w:pStyle w:val="DHHStablecolhead"/>
              <w:jc w:val="center"/>
            </w:pPr>
            <w:r w:rsidRPr="00DB7F89">
              <w:t>Risk Rating</w:t>
            </w:r>
          </w:p>
        </w:tc>
      </w:tr>
      <w:tr w:rsidR="00931F10" w:rsidRPr="001A387B" w14:paraId="5C1BF06D" w14:textId="77777777" w:rsidTr="00DB7F89">
        <w:trPr>
          <w:trHeight w:val="310"/>
        </w:trPr>
        <w:tc>
          <w:tcPr>
            <w:tcW w:w="3047" w:type="dxa"/>
            <w:shd w:val="clear" w:color="000000" w:fill="AFDC7E"/>
            <w:hideMark/>
          </w:tcPr>
          <w:p w14:paraId="6C5C4DDD"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229" w:type="dxa"/>
            <w:shd w:val="clear" w:color="000000" w:fill="AFDC7E"/>
            <w:hideMark/>
          </w:tcPr>
          <w:p w14:paraId="2C241098"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418" w:type="dxa"/>
            <w:shd w:val="clear" w:color="000000" w:fill="AFDC7E"/>
            <w:hideMark/>
          </w:tcPr>
          <w:p w14:paraId="7E9D740D"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1079" w:type="dxa"/>
            <w:shd w:val="clear" w:color="000000" w:fill="92D050"/>
            <w:hideMark/>
          </w:tcPr>
          <w:p w14:paraId="797A18F2" w14:textId="77777777" w:rsidR="00931F10" w:rsidRPr="00DB7F89" w:rsidRDefault="00931F10" w:rsidP="00DB7F89">
            <w:pPr>
              <w:pStyle w:val="DHHStabletext"/>
              <w:jc w:val="center"/>
              <w:rPr>
                <w:rStyle w:val="Strong"/>
              </w:rPr>
            </w:pPr>
            <w:r w:rsidRPr="00DB7F89">
              <w:rPr>
                <w:rStyle w:val="Strong"/>
              </w:rPr>
              <w:t>Low</w:t>
            </w:r>
          </w:p>
        </w:tc>
      </w:tr>
      <w:tr w:rsidR="00931F10" w:rsidRPr="001A387B" w14:paraId="131E76BF" w14:textId="77777777" w:rsidTr="00DB7F89">
        <w:trPr>
          <w:trHeight w:val="300"/>
        </w:trPr>
        <w:tc>
          <w:tcPr>
            <w:tcW w:w="3047" w:type="dxa"/>
            <w:shd w:val="clear" w:color="000000" w:fill="AFDC7E"/>
            <w:hideMark/>
          </w:tcPr>
          <w:p w14:paraId="36E370D2"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229" w:type="dxa"/>
            <w:shd w:val="clear" w:color="000000" w:fill="AFDC7E"/>
            <w:hideMark/>
          </w:tcPr>
          <w:p w14:paraId="4E6BFF5B"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418" w:type="dxa"/>
            <w:shd w:val="clear" w:color="000000" w:fill="FFD13F"/>
            <w:hideMark/>
          </w:tcPr>
          <w:p w14:paraId="20302273"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1079" w:type="dxa"/>
            <w:shd w:val="clear" w:color="000000" w:fill="92D050"/>
            <w:hideMark/>
          </w:tcPr>
          <w:p w14:paraId="71A647D4" w14:textId="77777777" w:rsidR="00931F10" w:rsidRPr="00DB7F89" w:rsidRDefault="00931F10" w:rsidP="00DB7F89">
            <w:pPr>
              <w:pStyle w:val="DHHStabletext"/>
              <w:jc w:val="center"/>
              <w:rPr>
                <w:rStyle w:val="Strong"/>
              </w:rPr>
            </w:pPr>
            <w:r w:rsidRPr="00DB7F89">
              <w:rPr>
                <w:rStyle w:val="Strong"/>
              </w:rPr>
              <w:t>Low</w:t>
            </w:r>
          </w:p>
        </w:tc>
      </w:tr>
      <w:tr w:rsidR="00931F10" w:rsidRPr="001A387B" w14:paraId="1F709408" w14:textId="77777777" w:rsidTr="00DB7F89">
        <w:trPr>
          <w:trHeight w:val="300"/>
        </w:trPr>
        <w:tc>
          <w:tcPr>
            <w:tcW w:w="3047" w:type="dxa"/>
            <w:shd w:val="clear" w:color="000000" w:fill="FFD13F"/>
            <w:hideMark/>
          </w:tcPr>
          <w:p w14:paraId="12BE3210"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229" w:type="dxa"/>
            <w:shd w:val="clear" w:color="000000" w:fill="AFDC7E"/>
            <w:hideMark/>
          </w:tcPr>
          <w:p w14:paraId="25935DE4"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418" w:type="dxa"/>
            <w:shd w:val="clear" w:color="000000" w:fill="AFDC7E"/>
            <w:hideMark/>
          </w:tcPr>
          <w:p w14:paraId="2185B1A5"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1079" w:type="dxa"/>
            <w:shd w:val="clear" w:color="000000" w:fill="92D050"/>
            <w:hideMark/>
          </w:tcPr>
          <w:p w14:paraId="20FCDB2A" w14:textId="77777777" w:rsidR="00931F10" w:rsidRPr="00DB7F89" w:rsidRDefault="00931F10" w:rsidP="00DB7F89">
            <w:pPr>
              <w:pStyle w:val="DHHStabletext"/>
              <w:jc w:val="center"/>
              <w:rPr>
                <w:rStyle w:val="Strong"/>
              </w:rPr>
            </w:pPr>
            <w:r w:rsidRPr="00DB7F89">
              <w:rPr>
                <w:rStyle w:val="Strong"/>
              </w:rPr>
              <w:t>Low</w:t>
            </w:r>
          </w:p>
        </w:tc>
      </w:tr>
      <w:tr w:rsidR="00931F10" w:rsidRPr="001A387B" w14:paraId="73FB3031" w14:textId="77777777" w:rsidTr="00DB7F89">
        <w:trPr>
          <w:trHeight w:val="300"/>
        </w:trPr>
        <w:tc>
          <w:tcPr>
            <w:tcW w:w="3047" w:type="dxa"/>
            <w:shd w:val="clear" w:color="000000" w:fill="AFDC7E"/>
            <w:hideMark/>
          </w:tcPr>
          <w:p w14:paraId="3CEBAC1B"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229" w:type="dxa"/>
            <w:shd w:val="clear" w:color="000000" w:fill="FFD13F"/>
            <w:hideMark/>
          </w:tcPr>
          <w:p w14:paraId="3836604D"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418" w:type="dxa"/>
            <w:shd w:val="clear" w:color="000000" w:fill="AFDC7E"/>
            <w:hideMark/>
          </w:tcPr>
          <w:p w14:paraId="1919314F"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1079" w:type="dxa"/>
            <w:shd w:val="clear" w:color="000000" w:fill="92D050"/>
            <w:hideMark/>
          </w:tcPr>
          <w:p w14:paraId="7685542D" w14:textId="77777777" w:rsidR="00931F10" w:rsidRPr="00DB7F89" w:rsidRDefault="00931F10" w:rsidP="00DB7F89">
            <w:pPr>
              <w:pStyle w:val="DHHStabletext"/>
              <w:jc w:val="center"/>
              <w:rPr>
                <w:rStyle w:val="Strong"/>
              </w:rPr>
            </w:pPr>
            <w:r w:rsidRPr="00DB7F89">
              <w:rPr>
                <w:rStyle w:val="Strong"/>
              </w:rPr>
              <w:t>Low</w:t>
            </w:r>
          </w:p>
        </w:tc>
      </w:tr>
      <w:tr w:rsidR="00931F10" w:rsidRPr="001A387B" w14:paraId="115E1468" w14:textId="77777777" w:rsidTr="00DB7F89">
        <w:trPr>
          <w:trHeight w:val="300"/>
        </w:trPr>
        <w:tc>
          <w:tcPr>
            <w:tcW w:w="3047" w:type="dxa"/>
            <w:shd w:val="clear" w:color="000000" w:fill="FFD13F"/>
            <w:hideMark/>
          </w:tcPr>
          <w:p w14:paraId="0674ACBC"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229" w:type="dxa"/>
            <w:shd w:val="clear" w:color="000000" w:fill="AFDC7E"/>
            <w:hideMark/>
          </w:tcPr>
          <w:p w14:paraId="45134F2F"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418" w:type="dxa"/>
            <w:shd w:val="clear" w:color="000000" w:fill="FFD13F"/>
            <w:hideMark/>
          </w:tcPr>
          <w:p w14:paraId="10D1A255"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1079" w:type="dxa"/>
            <w:shd w:val="clear" w:color="000000" w:fill="FFC000"/>
            <w:hideMark/>
          </w:tcPr>
          <w:p w14:paraId="554D4BB4" w14:textId="77777777" w:rsidR="00931F10" w:rsidRPr="00DB7F89" w:rsidRDefault="00931F10" w:rsidP="00DB7F89">
            <w:pPr>
              <w:pStyle w:val="DHHStabletext"/>
              <w:jc w:val="center"/>
              <w:rPr>
                <w:rStyle w:val="Strong"/>
              </w:rPr>
            </w:pPr>
            <w:r w:rsidRPr="00DB7F89">
              <w:rPr>
                <w:rStyle w:val="Strong"/>
              </w:rPr>
              <w:t>Medium</w:t>
            </w:r>
          </w:p>
        </w:tc>
      </w:tr>
      <w:tr w:rsidR="00931F10" w:rsidRPr="001A387B" w14:paraId="1985BDEA" w14:textId="77777777" w:rsidTr="00DB7F89">
        <w:trPr>
          <w:trHeight w:val="300"/>
        </w:trPr>
        <w:tc>
          <w:tcPr>
            <w:tcW w:w="3047" w:type="dxa"/>
            <w:shd w:val="clear" w:color="000000" w:fill="AFDC7E"/>
            <w:hideMark/>
          </w:tcPr>
          <w:p w14:paraId="61418F5A"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229" w:type="dxa"/>
            <w:shd w:val="clear" w:color="000000" w:fill="FFD13F"/>
            <w:hideMark/>
          </w:tcPr>
          <w:p w14:paraId="2B256B07"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418" w:type="dxa"/>
            <w:shd w:val="clear" w:color="000000" w:fill="FFD13F"/>
            <w:hideMark/>
          </w:tcPr>
          <w:p w14:paraId="5587C4A2"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1079" w:type="dxa"/>
            <w:shd w:val="clear" w:color="000000" w:fill="FFC000"/>
            <w:hideMark/>
          </w:tcPr>
          <w:p w14:paraId="548F5391" w14:textId="77777777" w:rsidR="00931F10" w:rsidRPr="00DB7F89" w:rsidRDefault="00931F10" w:rsidP="00DB7F89">
            <w:pPr>
              <w:pStyle w:val="DHHStabletext"/>
              <w:jc w:val="center"/>
              <w:rPr>
                <w:rStyle w:val="Strong"/>
              </w:rPr>
            </w:pPr>
            <w:r w:rsidRPr="00DB7F89">
              <w:rPr>
                <w:rStyle w:val="Strong"/>
              </w:rPr>
              <w:t>Medium</w:t>
            </w:r>
          </w:p>
        </w:tc>
      </w:tr>
      <w:tr w:rsidR="00931F10" w:rsidRPr="001A387B" w14:paraId="385FDB4A" w14:textId="77777777" w:rsidTr="00DB7F89">
        <w:trPr>
          <w:trHeight w:val="300"/>
        </w:trPr>
        <w:tc>
          <w:tcPr>
            <w:tcW w:w="3047" w:type="dxa"/>
            <w:shd w:val="clear" w:color="000000" w:fill="FFD13F"/>
            <w:hideMark/>
          </w:tcPr>
          <w:p w14:paraId="3AD3847D"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229" w:type="dxa"/>
            <w:shd w:val="clear" w:color="000000" w:fill="FFD13F"/>
            <w:hideMark/>
          </w:tcPr>
          <w:p w14:paraId="5F8E7804"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418" w:type="dxa"/>
            <w:shd w:val="clear" w:color="000000" w:fill="AFDC7E"/>
            <w:hideMark/>
          </w:tcPr>
          <w:p w14:paraId="779F0BAA"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1079" w:type="dxa"/>
            <w:shd w:val="clear" w:color="000000" w:fill="FFC000"/>
            <w:hideMark/>
          </w:tcPr>
          <w:p w14:paraId="2B8F6D46" w14:textId="77777777" w:rsidR="00931F10" w:rsidRPr="00DB7F89" w:rsidRDefault="00931F10" w:rsidP="00DB7F89">
            <w:pPr>
              <w:pStyle w:val="DHHStabletext"/>
              <w:jc w:val="center"/>
              <w:rPr>
                <w:rStyle w:val="Strong"/>
              </w:rPr>
            </w:pPr>
            <w:r w:rsidRPr="00DB7F89">
              <w:rPr>
                <w:rStyle w:val="Strong"/>
              </w:rPr>
              <w:t>Medium</w:t>
            </w:r>
          </w:p>
        </w:tc>
      </w:tr>
      <w:tr w:rsidR="00931F10" w:rsidRPr="001A387B" w14:paraId="26ACE315" w14:textId="77777777" w:rsidTr="00DB7F89">
        <w:trPr>
          <w:trHeight w:val="300"/>
        </w:trPr>
        <w:tc>
          <w:tcPr>
            <w:tcW w:w="3047" w:type="dxa"/>
            <w:shd w:val="clear" w:color="000000" w:fill="FF3F3F"/>
            <w:noWrap/>
            <w:hideMark/>
          </w:tcPr>
          <w:p w14:paraId="506C7CF3" w14:textId="77777777" w:rsidR="00931F10" w:rsidRPr="00DB7F89" w:rsidRDefault="00931F10" w:rsidP="00DB7F89">
            <w:pPr>
              <w:pStyle w:val="DHHStabletext"/>
              <w:jc w:val="center"/>
              <w:rPr>
                <w:rFonts w:cs="Arial"/>
                <w:color w:val="FFFFFF"/>
                <w:lang w:eastAsia="en-AU"/>
              </w:rPr>
            </w:pPr>
            <w:r w:rsidRPr="00993CE3">
              <w:rPr>
                <w:rFonts w:cs="Arial"/>
                <w:lang w:eastAsia="en-AU"/>
              </w:rPr>
              <w:t>High</w:t>
            </w:r>
          </w:p>
        </w:tc>
        <w:tc>
          <w:tcPr>
            <w:tcW w:w="3229" w:type="dxa"/>
            <w:shd w:val="clear" w:color="000000" w:fill="AFDC7E"/>
            <w:hideMark/>
          </w:tcPr>
          <w:p w14:paraId="6D0252A9"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418" w:type="dxa"/>
            <w:shd w:val="clear" w:color="000000" w:fill="FFD13F"/>
            <w:hideMark/>
          </w:tcPr>
          <w:p w14:paraId="0D2A1C2D"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1079" w:type="dxa"/>
            <w:shd w:val="clear" w:color="000000" w:fill="FF0000"/>
            <w:noWrap/>
            <w:hideMark/>
          </w:tcPr>
          <w:p w14:paraId="2387AAB7" w14:textId="77777777" w:rsidR="00931F10" w:rsidRPr="00993CE3" w:rsidRDefault="00931F10" w:rsidP="00DB7F89">
            <w:pPr>
              <w:pStyle w:val="DHHStabletext"/>
              <w:jc w:val="center"/>
              <w:rPr>
                <w:rStyle w:val="Strong"/>
              </w:rPr>
            </w:pPr>
            <w:r w:rsidRPr="00993CE3">
              <w:rPr>
                <w:rStyle w:val="Strong"/>
              </w:rPr>
              <w:t>High</w:t>
            </w:r>
          </w:p>
        </w:tc>
      </w:tr>
      <w:tr w:rsidR="00931F10" w:rsidRPr="001A387B" w14:paraId="28DCFC6B" w14:textId="77777777" w:rsidTr="00DB7F89">
        <w:trPr>
          <w:trHeight w:val="300"/>
        </w:trPr>
        <w:tc>
          <w:tcPr>
            <w:tcW w:w="3047" w:type="dxa"/>
            <w:shd w:val="clear" w:color="000000" w:fill="FFD13F"/>
            <w:hideMark/>
          </w:tcPr>
          <w:p w14:paraId="519063BC"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229" w:type="dxa"/>
            <w:shd w:val="clear" w:color="000000" w:fill="AFDC7E"/>
            <w:hideMark/>
          </w:tcPr>
          <w:p w14:paraId="2B4F0B99"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418" w:type="dxa"/>
            <w:shd w:val="clear" w:color="000000" w:fill="FF3F3F"/>
            <w:noWrap/>
            <w:hideMark/>
          </w:tcPr>
          <w:p w14:paraId="127CC06E" w14:textId="77777777" w:rsidR="00931F10" w:rsidRPr="00993CE3" w:rsidRDefault="00931F10" w:rsidP="00DB7F89">
            <w:pPr>
              <w:pStyle w:val="DHHStabletext"/>
              <w:jc w:val="center"/>
              <w:rPr>
                <w:rFonts w:cs="Arial"/>
                <w:lang w:eastAsia="en-AU"/>
              </w:rPr>
            </w:pPr>
            <w:r w:rsidRPr="00993CE3">
              <w:rPr>
                <w:rFonts w:cs="Arial"/>
                <w:lang w:eastAsia="en-AU"/>
              </w:rPr>
              <w:t>High</w:t>
            </w:r>
          </w:p>
        </w:tc>
        <w:tc>
          <w:tcPr>
            <w:tcW w:w="1079" w:type="dxa"/>
            <w:shd w:val="clear" w:color="000000" w:fill="FF0000"/>
            <w:noWrap/>
            <w:hideMark/>
          </w:tcPr>
          <w:p w14:paraId="56EEF940" w14:textId="77777777" w:rsidR="00931F10" w:rsidRPr="00993CE3" w:rsidRDefault="00931F10" w:rsidP="00DB7F89">
            <w:pPr>
              <w:pStyle w:val="DHHStabletext"/>
              <w:jc w:val="center"/>
              <w:rPr>
                <w:rStyle w:val="Strong"/>
              </w:rPr>
            </w:pPr>
            <w:r w:rsidRPr="00993CE3">
              <w:rPr>
                <w:rStyle w:val="Strong"/>
              </w:rPr>
              <w:t>High</w:t>
            </w:r>
          </w:p>
        </w:tc>
      </w:tr>
      <w:tr w:rsidR="00931F10" w:rsidRPr="001A387B" w14:paraId="6C877E28" w14:textId="77777777" w:rsidTr="00DB7F89">
        <w:trPr>
          <w:trHeight w:val="300"/>
        </w:trPr>
        <w:tc>
          <w:tcPr>
            <w:tcW w:w="3047" w:type="dxa"/>
            <w:shd w:val="clear" w:color="000000" w:fill="FF3F3F"/>
            <w:noWrap/>
            <w:hideMark/>
          </w:tcPr>
          <w:p w14:paraId="40CC6B7D" w14:textId="77777777" w:rsidR="00931F10" w:rsidRPr="00993CE3" w:rsidRDefault="00931F10" w:rsidP="00DB7F89">
            <w:pPr>
              <w:pStyle w:val="DHHStabletext"/>
              <w:jc w:val="center"/>
              <w:rPr>
                <w:rFonts w:cs="Arial"/>
                <w:lang w:eastAsia="en-AU"/>
              </w:rPr>
            </w:pPr>
            <w:r w:rsidRPr="00993CE3">
              <w:rPr>
                <w:rFonts w:cs="Arial"/>
                <w:lang w:eastAsia="en-AU"/>
              </w:rPr>
              <w:t>High</w:t>
            </w:r>
          </w:p>
        </w:tc>
        <w:tc>
          <w:tcPr>
            <w:tcW w:w="3229" w:type="dxa"/>
            <w:shd w:val="clear" w:color="000000" w:fill="AFDC7E"/>
            <w:hideMark/>
          </w:tcPr>
          <w:p w14:paraId="7D447359"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418" w:type="dxa"/>
            <w:shd w:val="clear" w:color="000000" w:fill="FF3F3F"/>
            <w:noWrap/>
            <w:hideMark/>
          </w:tcPr>
          <w:p w14:paraId="460A0E79" w14:textId="77777777" w:rsidR="00931F10" w:rsidRPr="00993CE3" w:rsidRDefault="00931F10" w:rsidP="00DB7F89">
            <w:pPr>
              <w:pStyle w:val="DHHStabletext"/>
              <w:jc w:val="center"/>
              <w:rPr>
                <w:rFonts w:cs="Arial"/>
                <w:lang w:eastAsia="en-AU"/>
              </w:rPr>
            </w:pPr>
            <w:r w:rsidRPr="00993CE3">
              <w:rPr>
                <w:rFonts w:cs="Arial"/>
                <w:lang w:eastAsia="en-AU"/>
              </w:rPr>
              <w:t>High</w:t>
            </w:r>
          </w:p>
        </w:tc>
        <w:tc>
          <w:tcPr>
            <w:tcW w:w="1079" w:type="dxa"/>
            <w:shd w:val="clear" w:color="000000" w:fill="FF0000"/>
            <w:noWrap/>
            <w:hideMark/>
          </w:tcPr>
          <w:p w14:paraId="0ADA1C97" w14:textId="77777777" w:rsidR="00931F10" w:rsidRPr="00993CE3" w:rsidRDefault="00931F10" w:rsidP="00DB7F89">
            <w:pPr>
              <w:pStyle w:val="DHHStabletext"/>
              <w:jc w:val="center"/>
              <w:rPr>
                <w:rStyle w:val="Strong"/>
              </w:rPr>
            </w:pPr>
            <w:r w:rsidRPr="00993CE3">
              <w:rPr>
                <w:rStyle w:val="Strong"/>
              </w:rPr>
              <w:t>High</w:t>
            </w:r>
          </w:p>
        </w:tc>
      </w:tr>
      <w:tr w:rsidR="00931F10" w:rsidRPr="001A387B" w14:paraId="7788F9FF" w14:textId="77777777" w:rsidTr="00DB7F89">
        <w:trPr>
          <w:trHeight w:val="300"/>
        </w:trPr>
        <w:tc>
          <w:tcPr>
            <w:tcW w:w="3047" w:type="dxa"/>
            <w:shd w:val="clear" w:color="000000" w:fill="AFDC7E"/>
            <w:hideMark/>
          </w:tcPr>
          <w:p w14:paraId="24FFB24E"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229" w:type="dxa"/>
            <w:shd w:val="clear" w:color="000000" w:fill="FFD13F"/>
            <w:hideMark/>
          </w:tcPr>
          <w:p w14:paraId="006811DD"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418" w:type="dxa"/>
            <w:shd w:val="clear" w:color="000000" w:fill="FF3F3F"/>
            <w:noWrap/>
            <w:hideMark/>
          </w:tcPr>
          <w:p w14:paraId="3381EF40" w14:textId="77777777" w:rsidR="00931F10" w:rsidRPr="00993CE3" w:rsidRDefault="00931F10" w:rsidP="00DB7F89">
            <w:pPr>
              <w:pStyle w:val="DHHStabletext"/>
              <w:jc w:val="center"/>
              <w:rPr>
                <w:rFonts w:cs="Arial"/>
                <w:lang w:eastAsia="en-AU"/>
              </w:rPr>
            </w:pPr>
            <w:r w:rsidRPr="00993CE3">
              <w:rPr>
                <w:rFonts w:cs="Arial"/>
                <w:lang w:eastAsia="en-AU"/>
              </w:rPr>
              <w:t>High</w:t>
            </w:r>
          </w:p>
        </w:tc>
        <w:tc>
          <w:tcPr>
            <w:tcW w:w="1079" w:type="dxa"/>
            <w:shd w:val="clear" w:color="000000" w:fill="FF0000"/>
            <w:noWrap/>
            <w:hideMark/>
          </w:tcPr>
          <w:p w14:paraId="1AC44B49" w14:textId="77777777" w:rsidR="00931F10" w:rsidRPr="00993CE3" w:rsidRDefault="00931F10" w:rsidP="00DB7F89">
            <w:pPr>
              <w:pStyle w:val="DHHStabletext"/>
              <w:jc w:val="center"/>
              <w:rPr>
                <w:rStyle w:val="Strong"/>
              </w:rPr>
            </w:pPr>
            <w:r w:rsidRPr="00993CE3">
              <w:rPr>
                <w:rStyle w:val="Strong"/>
              </w:rPr>
              <w:t>High</w:t>
            </w:r>
          </w:p>
        </w:tc>
      </w:tr>
      <w:tr w:rsidR="00931F10" w:rsidRPr="001A387B" w14:paraId="6C09EB8E" w14:textId="77777777" w:rsidTr="00DB7F89">
        <w:trPr>
          <w:trHeight w:val="300"/>
        </w:trPr>
        <w:tc>
          <w:tcPr>
            <w:tcW w:w="3047" w:type="dxa"/>
            <w:shd w:val="clear" w:color="000000" w:fill="AFDC7E"/>
            <w:hideMark/>
          </w:tcPr>
          <w:p w14:paraId="5CEB9A9B"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229" w:type="dxa"/>
            <w:shd w:val="clear" w:color="000000" w:fill="FF3F3F"/>
            <w:noWrap/>
            <w:hideMark/>
          </w:tcPr>
          <w:p w14:paraId="55970699" w14:textId="77777777" w:rsidR="00931F10" w:rsidRPr="00993CE3" w:rsidRDefault="00931F10" w:rsidP="00DB7F89">
            <w:pPr>
              <w:pStyle w:val="DHHStabletext"/>
              <w:jc w:val="center"/>
              <w:rPr>
                <w:rFonts w:cs="Arial"/>
                <w:lang w:eastAsia="en-AU"/>
              </w:rPr>
            </w:pPr>
            <w:r w:rsidRPr="00993CE3">
              <w:rPr>
                <w:rFonts w:cs="Arial"/>
                <w:lang w:eastAsia="en-AU"/>
              </w:rPr>
              <w:t>High</w:t>
            </w:r>
          </w:p>
        </w:tc>
        <w:tc>
          <w:tcPr>
            <w:tcW w:w="3418" w:type="dxa"/>
            <w:shd w:val="clear" w:color="000000" w:fill="FFD13F"/>
            <w:hideMark/>
          </w:tcPr>
          <w:p w14:paraId="1DE4F0B4"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1079" w:type="dxa"/>
            <w:shd w:val="clear" w:color="000000" w:fill="FF0000"/>
            <w:noWrap/>
            <w:hideMark/>
          </w:tcPr>
          <w:p w14:paraId="72F2EA0D" w14:textId="77777777" w:rsidR="00931F10" w:rsidRPr="00993CE3" w:rsidRDefault="00931F10" w:rsidP="00DB7F89">
            <w:pPr>
              <w:pStyle w:val="DHHStabletext"/>
              <w:jc w:val="center"/>
              <w:rPr>
                <w:rStyle w:val="Strong"/>
              </w:rPr>
            </w:pPr>
            <w:r w:rsidRPr="00993CE3">
              <w:rPr>
                <w:rStyle w:val="Strong"/>
              </w:rPr>
              <w:t>High</w:t>
            </w:r>
          </w:p>
        </w:tc>
      </w:tr>
      <w:tr w:rsidR="00931F10" w:rsidRPr="001A387B" w14:paraId="0F271421" w14:textId="77777777" w:rsidTr="00DB7F89">
        <w:trPr>
          <w:trHeight w:val="300"/>
        </w:trPr>
        <w:tc>
          <w:tcPr>
            <w:tcW w:w="3047" w:type="dxa"/>
            <w:shd w:val="clear" w:color="000000" w:fill="AFDC7E"/>
            <w:hideMark/>
          </w:tcPr>
          <w:p w14:paraId="539EAA16"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3229" w:type="dxa"/>
            <w:shd w:val="clear" w:color="000000" w:fill="FF3F3F"/>
            <w:noWrap/>
            <w:hideMark/>
          </w:tcPr>
          <w:p w14:paraId="08EFDF71" w14:textId="77777777" w:rsidR="00931F10" w:rsidRPr="00993CE3" w:rsidRDefault="00931F10" w:rsidP="00DB7F89">
            <w:pPr>
              <w:pStyle w:val="DHHStabletext"/>
              <w:jc w:val="center"/>
              <w:rPr>
                <w:rFonts w:cs="Arial"/>
                <w:lang w:eastAsia="en-AU"/>
              </w:rPr>
            </w:pPr>
            <w:r w:rsidRPr="00993CE3">
              <w:rPr>
                <w:rFonts w:cs="Arial"/>
                <w:lang w:eastAsia="en-AU"/>
              </w:rPr>
              <w:t>High</w:t>
            </w:r>
          </w:p>
        </w:tc>
        <w:tc>
          <w:tcPr>
            <w:tcW w:w="3418" w:type="dxa"/>
            <w:shd w:val="clear" w:color="000000" w:fill="FF3F3F"/>
            <w:noWrap/>
            <w:hideMark/>
          </w:tcPr>
          <w:p w14:paraId="755BB688" w14:textId="77777777" w:rsidR="00931F10" w:rsidRPr="00993CE3" w:rsidRDefault="00931F10" w:rsidP="00DB7F89">
            <w:pPr>
              <w:pStyle w:val="DHHStabletext"/>
              <w:jc w:val="center"/>
              <w:rPr>
                <w:rFonts w:cs="Arial"/>
                <w:lang w:eastAsia="en-AU"/>
              </w:rPr>
            </w:pPr>
            <w:r w:rsidRPr="00993CE3">
              <w:rPr>
                <w:rFonts w:cs="Arial"/>
                <w:lang w:eastAsia="en-AU"/>
              </w:rPr>
              <w:t>High</w:t>
            </w:r>
          </w:p>
        </w:tc>
        <w:tc>
          <w:tcPr>
            <w:tcW w:w="1079" w:type="dxa"/>
            <w:shd w:val="clear" w:color="000000" w:fill="FF0000"/>
            <w:noWrap/>
            <w:hideMark/>
          </w:tcPr>
          <w:p w14:paraId="5A76805B" w14:textId="77777777" w:rsidR="00931F10" w:rsidRPr="00993CE3" w:rsidRDefault="00931F10" w:rsidP="00DB7F89">
            <w:pPr>
              <w:pStyle w:val="DHHStabletext"/>
              <w:jc w:val="center"/>
              <w:rPr>
                <w:rStyle w:val="Strong"/>
              </w:rPr>
            </w:pPr>
            <w:r w:rsidRPr="00993CE3">
              <w:rPr>
                <w:rStyle w:val="Strong"/>
              </w:rPr>
              <w:t>High</w:t>
            </w:r>
          </w:p>
        </w:tc>
      </w:tr>
      <w:tr w:rsidR="00931F10" w:rsidRPr="001A387B" w14:paraId="7C5602ED" w14:textId="77777777" w:rsidTr="00DB7F89">
        <w:trPr>
          <w:trHeight w:val="300"/>
        </w:trPr>
        <w:tc>
          <w:tcPr>
            <w:tcW w:w="3047" w:type="dxa"/>
            <w:shd w:val="clear" w:color="000000" w:fill="FF3F3F"/>
            <w:noWrap/>
            <w:hideMark/>
          </w:tcPr>
          <w:p w14:paraId="693BED22" w14:textId="77777777" w:rsidR="00931F10" w:rsidRPr="00993CE3" w:rsidRDefault="00931F10" w:rsidP="00DB7F89">
            <w:pPr>
              <w:pStyle w:val="DHHStabletext"/>
              <w:jc w:val="center"/>
              <w:rPr>
                <w:rFonts w:cs="Arial"/>
                <w:lang w:eastAsia="en-AU"/>
              </w:rPr>
            </w:pPr>
            <w:r w:rsidRPr="00993CE3">
              <w:rPr>
                <w:rFonts w:cs="Arial"/>
                <w:lang w:eastAsia="en-AU"/>
              </w:rPr>
              <w:t>High</w:t>
            </w:r>
          </w:p>
        </w:tc>
        <w:tc>
          <w:tcPr>
            <w:tcW w:w="3229" w:type="dxa"/>
            <w:shd w:val="clear" w:color="000000" w:fill="FFD13F"/>
            <w:hideMark/>
          </w:tcPr>
          <w:p w14:paraId="3B052591"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418" w:type="dxa"/>
            <w:shd w:val="clear" w:color="000000" w:fill="AFDC7E"/>
            <w:hideMark/>
          </w:tcPr>
          <w:p w14:paraId="4F7EFAF3"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1079" w:type="dxa"/>
            <w:shd w:val="clear" w:color="000000" w:fill="FF0000"/>
            <w:noWrap/>
            <w:hideMark/>
          </w:tcPr>
          <w:p w14:paraId="556E1CDC" w14:textId="77777777" w:rsidR="00931F10" w:rsidRPr="00993CE3" w:rsidRDefault="00931F10" w:rsidP="00DB7F89">
            <w:pPr>
              <w:pStyle w:val="DHHStabletext"/>
              <w:jc w:val="center"/>
              <w:rPr>
                <w:rStyle w:val="Strong"/>
              </w:rPr>
            </w:pPr>
            <w:r w:rsidRPr="00993CE3">
              <w:rPr>
                <w:rStyle w:val="Strong"/>
              </w:rPr>
              <w:t>High</w:t>
            </w:r>
          </w:p>
        </w:tc>
      </w:tr>
      <w:tr w:rsidR="00931F10" w:rsidRPr="001A387B" w14:paraId="23B96F48" w14:textId="77777777" w:rsidTr="00DB7F89">
        <w:trPr>
          <w:trHeight w:val="300"/>
        </w:trPr>
        <w:tc>
          <w:tcPr>
            <w:tcW w:w="3047" w:type="dxa"/>
            <w:shd w:val="clear" w:color="000000" w:fill="FFD13F"/>
            <w:hideMark/>
          </w:tcPr>
          <w:p w14:paraId="0ABB4A97"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Medium</w:t>
            </w:r>
          </w:p>
        </w:tc>
        <w:tc>
          <w:tcPr>
            <w:tcW w:w="3229" w:type="dxa"/>
            <w:shd w:val="clear" w:color="000000" w:fill="FF3F3F"/>
            <w:noWrap/>
            <w:hideMark/>
          </w:tcPr>
          <w:p w14:paraId="4E294C82" w14:textId="77777777" w:rsidR="00931F10" w:rsidRPr="00993CE3" w:rsidRDefault="00931F10" w:rsidP="00DB7F89">
            <w:pPr>
              <w:pStyle w:val="DHHStabletext"/>
              <w:jc w:val="center"/>
              <w:rPr>
                <w:rFonts w:cs="Arial"/>
                <w:lang w:eastAsia="en-AU"/>
              </w:rPr>
            </w:pPr>
            <w:r w:rsidRPr="00993CE3">
              <w:rPr>
                <w:rFonts w:cs="Arial"/>
                <w:lang w:eastAsia="en-AU"/>
              </w:rPr>
              <w:t>High</w:t>
            </w:r>
          </w:p>
        </w:tc>
        <w:tc>
          <w:tcPr>
            <w:tcW w:w="3418" w:type="dxa"/>
            <w:shd w:val="clear" w:color="000000" w:fill="AFDC7E"/>
            <w:hideMark/>
          </w:tcPr>
          <w:p w14:paraId="21690646" w14:textId="77777777" w:rsidR="00931F10" w:rsidRPr="00DB7F89" w:rsidRDefault="00931F10" w:rsidP="00DB7F89">
            <w:pPr>
              <w:pStyle w:val="DHHStabletext"/>
              <w:jc w:val="center"/>
              <w:rPr>
                <w:rFonts w:cs="Arial"/>
                <w:color w:val="000000"/>
                <w:lang w:eastAsia="en-AU"/>
              </w:rPr>
            </w:pPr>
            <w:r w:rsidRPr="00DB7F89">
              <w:rPr>
                <w:rFonts w:cs="Arial"/>
                <w:color w:val="000000"/>
                <w:lang w:eastAsia="en-AU"/>
              </w:rPr>
              <w:t>Low</w:t>
            </w:r>
          </w:p>
        </w:tc>
        <w:tc>
          <w:tcPr>
            <w:tcW w:w="1079" w:type="dxa"/>
            <w:shd w:val="clear" w:color="000000" w:fill="FF0000"/>
            <w:noWrap/>
            <w:hideMark/>
          </w:tcPr>
          <w:p w14:paraId="5522663F" w14:textId="77777777" w:rsidR="00931F10" w:rsidRPr="00993CE3" w:rsidRDefault="00931F10" w:rsidP="00DB7F89">
            <w:pPr>
              <w:pStyle w:val="DHHStabletext"/>
              <w:jc w:val="center"/>
              <w:rPr>
                <w:rStyle w:val="Strong"/>
              </w:rPr>
            </w:pPr>
            <w:r w:rsidRPr="00993CE3">
              <w:rPr>
                <w:rStyle w:val="Strong"/>
              </w:rPr>
              <w:t>High</w:t>
            </w:r>
          </w:p>
        </w:tc>
      </w:tr>
    </w:tbl>
    <w:p w14:paraId="392210A9" w14:textId="77777777" w:rsidR="00931F10" w:rsidRDefault="00931F10" w:rsidP="00260557">
      <w:pPr>
        <w:spacing w:after="160" w:line="259" w:lineRule="auto"/>
        <w:rPr>
          <w:rFonts w:cs="Arial"/>
          <w:szCs w:val="21"/>
          <w:u w:val="dotted"/>
        </w:rPr>
      </w:pPr>
    </w:p>
    <w:p w14:paraId="24256097" w14:textId="77777777" w:rsidR="00931F10" w:rsidRDefault="00931F10" w:rsidP="00260557">
      <w:pPr>
        <w:spacing w:after="160" w:line="259" w:lineRule="auto"/>
        <w:rPr>
          <w:rFonts w:cs="Arial"/>
          <w:szCs w:val="21"/>
          <w:u w:val="dotted"/>
        </w:rPr>
        <w:sectPr w:rsidR="00931F10" w:rsidSect="008061FD">
          <w:pgSz w:w="11906" w:h="16838" w:code="9"/>
          <w:pgMar w:top="567" w:right="720" w:bottom="720" w:left="720" w:header="680" w:footer="851" w:gutter="0"/>
          <w:cols w:space="340"/>
          <w:docGrid w:linePitch="360"/>
        </w:sectPr>
      </w:pPr>
    </w:p>
    <w:p w14:paraId="22498272" w14:textId="297F633D" w:rsidR="002504DD" w:rsidRDefault="00384990" w:rsidP="002504DD">
      <w:pPr>
        <w:pStyle w:val="Heading4"/>
      </w:pPr>
      <w:r w:rsidRPr="00690D87">
        <w:lastRenderedPageBreak/>
        <w:t>Risk identification</w:t>
      </w:r>
    </w:p>
    <w:p w14:paraId="61268ABA" w14:textId="1EA4DC3C" w:rsidR="002504DD" w:rsidRPr="002504DD" w:rsidRDefault="002504DD" w:rsidP="002504DD">
      <w:pPr>
        <w:pStyle w:val="DHHStablecaption"/>
      </w:pPr>
      <w:r w:rsidRPr="006B1504">
        <w:t>Environment and infrastructure</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Caption w:val="Risk identification table"/>
        <w:tblDescription w:val="Environment and infrastructure&#10;Risk factors; Example"/>
      </w:tblPr>
      <w:tblGrid>
        <w:gridCol w:w="4815"/>
        <w:gridCol w:w="10573"/>
      </w:tblGrid>
      <w:tr w:rsidR="002504DD" w14:paraId="4799C625" w14:textId="77777777" w:rsidTr="00717ED8">
        <w:trPr>
          <w:tblHeader/>
        </w:trPr>
        <w:tc>
          <w:tcPr>
            <w:tcW w:w="4815" w:type="dxa"/>
          </w:tcPr>
          <w:p w14:paraId="194C0216" w14:textId="3BBBEF7B" w:rsidR="002504DD" w:rsidRPr="002504DD" w:rsidRDefault="002504DD" w:rsidP="005325AE">
            <w:pPr>
              <w:pStyle w:val="DHHStablecolhead"/>
            </w:pPr>
            <w:r w:rsidRPr="002504DD">
              <w:t>Risk factors</w:t>
            </w:r>
          </w:p>
        </w:tc>
        <w:tc>
          <w:tcPr>
            <w:tcW w:w="10573" w:type="dxa"/>
          </w:tcPr>
          <w:p w14:paraId="13F8B739" w14:textId="5758393C" w:rsidR="002504DD" w:rsidRPr="002504DD" w:rsidRDefault="002504DD" w:rsidP="005325AE">
            <w:pPr>
              <w:pStyle w:val="DHHStablecolhead"/>
            </w:pPr>
            <w:r w:rsidRPr="002504DD">
              <w:t>Example</w:t>
            </w:r>
          </w:p>
        </w:tc>
      </w:tr>
      <w:tr w:rsidR="002504DD" w14:paraId="6529C4BF" w14:textId="77777777" w:rsidTr="00717ED8">
        <w:tc>
          <w:tcPr>
            <w:tcW w:w="4815" w:type="dxa"/>
          </w:tcPr>
          <w:p w14:paraId="71535B5F" w14:textId="3DE6F23B" w:rsidR="002504DD" w:rsidRDefault="002504DD" w:rsidP="002504DD">
            <w:pPr>
              <w:pStyle w:val="Body"/>
            </w:pPr>
            <w:r w:rsidRPr="0069085F">
              <w:t xml:space="preserve">Shared physical environment  </w:t>
            </w:r>
          </w:p>
        </w:tc>
        <w:tc>
          <w:tcPr>
            <w:tcW w:w="10573" w:type="dxa"/>
          </w:tcPr>
          <w:p w14:paraId="25E534DD" w14:textId="4D0FA120" w:rsidR="002504DD" w:rsidRDefault="002504DD" w:rsidP="002504DD">
            <w:pPr>
              <w:pStyle w:val="Body"/>
            </w:pPr>
            <w:r w:rsidRPr="0069085F">
              <w:t>Settings with shared amenities and spaces may heighten risk of transmission</w:t>
            </w:r>
          </w:p>
        </w:tc>
      </w:tr>
      <w:tr w:rsidR="002504DD" w14:paraId="6D55C8F6" w14:textId="77777777" w:rsidTr="00717ED8">
        <w:tc>
          <w:tcPr>
            <w:tcW w:w="4815" w:type="dxa"/>
          </w:tcPr>
          <w:p w14:paraId="0E6DB1A6" w14:textId="4154C0F7" w:rsidR="002504DD" w:rsidRDefault="002504DD" w:rsidP="002504DD">
            <w:pPr>
              <w:pStyle w:val="Body"/>
            </w:pPr>
            <w:r w:rsidRPr="0069085F">
              <w:t>Quality and nature of facility structure</w:t>
            </w:r>
          </w:p>
        </w:tc>
        <w:tc>
          <w:tcPr>
            <w:tcW w:w="10573" w:type="dxa"/>
          </w:tcPr>
          <w:p w14:paraId="2144F41D" w14:textId="0C5200EC" w:rsidR="002504DD" w:rsidRDefault="002504DD" w:rsidP="002504DD">
            <w:pPr>
              <w:pStyle w:val="Body"/>
            </w:pPr>
            <w:r w:rsidRPr="0069085F">
              <w:t>Buildings with good ventilation can help reduce the concentration of airborne contaminants indoors. Indoor spaces are more risky than outdoor spaces where it might be harder to social distance.</w:t>
            </w:r>
          </w:p>
        </w:tc>
      </w:tr>
      <w:tr w:rsidR="002504DD" w14:paraId="6B1C370C" w14:textId="77777777" w:rsidTr="00717ED8">
        <w:tc>
          <w:tcPr>
            <w:tcW w:w="4815" w:type="dxa"/>
          </w:tcPr>
          <w:p w14:paraId="0F0B69B3" w14:textId="7AEE2C2B" w:rsidR="002504DD" w:rsidRDefault="002504DD" w:rsidP="002504DD">
            <w:pPr>
              <w:pStyle w:val="Body"/>
            </w:pPr>
            <w:r w:rsidRPr="0069085F">
              <w:t>Staffing presence and training</w:t>
            </w:r>
          </w:p>
        </w:tc>
        <w:tc>
          <w:tcPr>
            <w:tcW w:w="10573" w:type="dxa"/>
          </w:tcPr>
          <w:p w14:paraId="43E2B3E5" w14:textId="1C0EA7C7" w:rsidR="002504DD" w:rsidRDefault="002504DD" w:rsidP="002504DD">
            <w:pPr>
              <w:pStyle w:val="Body"/>
            </w:pPr>
            <w:r w:rsidRPr="0069085F">
              <w:t>Trained staff can contribute to adherence to COVIDSafe practises and contribute to preventing and minimising transmission</w:t>
            </w:r>
          </w:p>
        </w:tc>
      </w:tr>
      <w:tr w:rsidR="002504DD" w14:paraId="6E645336" w14:textId="77777777" w:rsidTr="00717ED8">
        <w:tc>
          <w:tcPr>
            <w:tcW w:w="4815" w:type="dxa"/>
          </w:tcPr>
          <w:p w14:paraId="3478C5EA" w14:textId="0C4020BB" w:rsidR="002504DD" w:rsidRDefault="002504DD" w:rsidP="002504DD">
            <w:pPr>
              <w:pStyle w:val="Body"/>
            </w:pPr>
            <w:r w:rsidRPr="0069085F">
              <w:t>Staff mobility</w:t>
            </w:r>
          </w:p>
        </w:tc>
        <w:tc>
          <w:tcPr>
            <w:tcW w:w="10573" w:type="dxa"/>
          </w:tcPr>
          <w:p w14:paraId="184D73E8" w14:textId="3A4BFE1F" w:rsidR="002504DD" w:rsidRDefault="002504DD" w:rsidP="002504DD">
            <w:pPr>
              <w:pStyle w:val="Body"/>
            </w:pPr>
            <w:r w:rsidRPr="0069085F">
              <w:t>Staff moving between facilities creates an incursion and transmission risk, as does the use of casual workers.</w:t>
            </w:r>
          </w:p>
        </w:tc>
      </w:tr>
      <w:tr w:rsidR="002504DD" w14:paraId="25746C9E" w14:textId="77777777" w:rsidTr="00717ED8">
        <w:tc>
          <w:tcPr>
            <w:tcW w:w="4815" w:type="dxa"/>
          </w:tcPr>
          <w:p w14:paraId="19D926D8" w14:textId="175C70CF" w:rsidR="002504DD" w:rsidRDefault="002504DD" w:rsidP="002504DD">
            <w:pPr>
              <w:pStyle w:val="Body"/>
            </w:pPr>
            <w:r w:rsidRPr="0069085F">
              <w:t>Staff characteristics (SES, CALD, literacy)</w:t>
            </w:r>
          </w:p>
        </w:tc>
        <w:tc>
          <w:tcPr>
            <w:tcW w:w="10573" w:type="dxa"/>
          </w:tcPr>
          <w:p w14:paraId="3AB3F96C" w14:textId="10E22F9E" w:rsidR="002504DD" w:rsidRDefault="002504DD" w:rsidP="002504DD">
            <w:pPr>
              <w:pStyle w:val="Body"/>
            </w:pPr>
            <w:r w:rsidRPr="0069085F">
              <w:t>Staff in these settings tend to have lower incomes and are more likely to be part of a casualised, mobile workforce</w:t>
            </w:r>
          </w:p>
        </w:tc>
      </w:tr>
    </w:tbl>
    <w:p w14:paraId="35FCB4FC" w14:textId="620AF6C3" w:rsidR="002504DD" w:rsidRPr="002504DD" w:rsidRDefault="002504DD" w:rsidP="002504DD">
      <w:pPr>
        <w:pStyle w:val="DHHStablecaption"/>
      </w:pPr>
      <w:r w:rsidRPr="002504DD">
        <w:t>Systems, governance and leadership</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Caption w:val="Risk identification"/>
        <w:tblDescription w:val="Systems, governance and leadership&#10;Risk factors; Example"/>
      </w:tblPr>
      <w:tblGrid>
        <w:gridCol w:w="4815"/>
        <w:gridCol w:w="10573"/>
      </w:tblGrid>
      <w:tr w:rsidR="002504DD" w14:paraId="78829B35" w14:textId="77777777" w:rsidTr="00717ED8">
        <w:trPr>
          <w:tblHeader/>
        </w:trPr>
        <w:tc>
          <w:tcPr>
            <w:tcW w:w="4815" w:type="dxa"/>
          </w:tcPr>
          <w:p w14:paraId="3AB7FA1E" w14:textId="77777777" w:rsidR="002504DD" w:rsidRPr="002504DD" w:rsidRDefault="002504DD" w:rsidP="005325AE">
            <w:pPr>
              <w:pStyle w:val="DHHStablecolhead"/>
            </w:pPr>
            <w:r w:rsidRPr="002504DD">
              <w:t>Risk factors</w:t>
            </w:r>
          </w:p>
        </w:tc>
        <w:tc>
          <w:tcPr>
            <w:tcW w:w="10573" w:type="dxa"/>
          </w:tcPr>
          <w:p w14:paraId="3F03312F" w14:textId="77777777" w:rsidR="002504DD" w:rsidRPr="002504DD" w:rsidRDefault="002504DD" w:rsidP="005325AE">
            <w:pPr>
              <w:pStyle w:val="DHHStablecolhead"/>
            </w:pPr>
            <w:r w:rsidRPr="002504DD">
              <w:t>Example</w:t>
            </w:r>
          </w:p>
        </w:tc>
      </w:tr>
      <w:tr w:rsidR="002504DD" w14:paraId="0047779B" w14:textId="77777777" w:rsidTr="00717ED8">
        <w:tc>
          <w:tcPr>
            <w:tcW w:w="4815" w:type="dxa"/>
          </w:tcPr>
          <w:p w14:paraId="458936DE" w14:textId="7ADFFBD5" w:rsidR="002504DD" w:rsidRDefault="002504DD" w:rsidP="00FD0C9C">
            <w:pPr>
              <w:pStyle w:val="Body"/>
            </w:pPr>
            <w:r w:rsidRPr="0069085F">
              <w:t>Leadership/management</w:t>
            </w:r>
          </w:p>
        </w:tc>
        <w:tc>
          <w:tcPr>
            <w:tcW w:w="10573" w:type="dxa"/>
          </w:tcPr>
          <w:p w14:paraId="3C0AAACE" w14:textId="449D53D3" w:rsidR="002504DD" w:rsidRDefault="002504DD" w:rsidP="00FD0C9C">
            <w:pPr>
              <w:pStyle w:val="Body"/>
            </w:pPr>
            <w:r w:rsidRPr="0069085F">
              <w:t>Organisational leadership and management are important enablers to ensure the sustainability of prevention and preparedness activities and readiness to respond in the event of an outbreak.</w:t>
            </w:r>
          </w:p>
        </w:tc>
      </w:tr>
      <w:tr w:rsidR="002504DD" w14:paraId="60C7FF0D" w14:textId="77777777" w:rsidTr="00717ED8">
        <w:tc>
          <w:tcPr>
            <w:tcW w:w="4815" w:type="dxa"/>
          </w:tcPr>
          <w:p w14:paraId="50C435D2" w14:textId="728D6626" w:rsidR="002504DD" w:rsidRDefault="002504DD" w:rsidP="00FD0C9C">
            <w:pPr>
              <w:pStyle w:val="Body"/>
            </w:pPr>
            <w:r w:rsidRPr="0069085F">
              <w:t>Regulatory oversight</w:t>
            </w:r>
          </w:p>
        </w:tc>
        <w:tc>
          <w:tcPr>
            <w:tcW w:w="10573" w:type="dxa"/>
          </w:tcPr>
          <w:p w14:paraId="1251A231" w14:textId="767AB3F3" w:rsidR="002504DD" w:rsidRDefault="002504DD" w:rsidP="00FD0C9C">
            <w:pPr>
              <w:pStyle w:val="Body"/>
            </w:pPr>
            <w:r w:rsidRPr="0069085F">
              <w:t>Regulation and compliance monitoring are enablers for sustained action. Risks arise in non-regulated settings because of lack of oversight.</w:t>
            </w:r>
          </w:p>
        </w:tc>
      </w:tr>
      <w:tr w:rsidR="002504DD" w14:paraId="2144F3D1" w14:textId="77777777" w:rsidTr="00717ED8">
        <w:tc>
          <w:tcPr>
            <w:tcW w:w="4815" w:type="dxa"/>
          </w:tcPr>
          <w:p w14:paraId="739079F9" w14:textId="7CB79908" w:rsidR="002504DD" w:rsidRDefault="002504DD" w:rsidP="00FD0C9C">
            <w:pPr>
              <w:pStyle w:val="Body"/>
            </w:pPr>
            <w:r w:rsidRPr="0069085F">
              <w:t>COVIDSafe Plan</w:t>
            </w:r>
          </w:p>
        </w:tc>
        <w:tc>
          <w:tcPr>
            <w:tcW w:w="10573" w:type="dxa"/>
          </w:tcPr>
          <w:p w14:paraId="08A44703" w14:textId="02262EFD" w:rsidR="002504DD" w:rsidRDefault="002504DD" w:rsidP="00FD0C9C">
            <w:pPr>
              <w:pStyle w:val="Body"/>
            </w:pPr>
            <w:r w:rsidRPr="0069085F">
              <w:t>Certain settings are required to develop COVIDSafe plans which may contribute to prevention and preparedness activities and readiness to respond in the event of an outbreak</w:t>
            </w:r>
          </w:p>
        </w:tc>
      </w:tr>
      <w:tr w:rsidR="002504DD" w14:paraId="22B3A198" w14:textId="77777777" w:rsidTr="00717ED8">
        <w:tc>
          <w:tcPr>
            <w:tcW w:w="4815" w:type="dxa"/>
          </w:tcPr>
          <w:p w14:paraId="6D4A5577" w14:textId="2C6AA7B6" w:rsidR="002504DD" w:rsidRDefault="002504DD" w:rsidP="00FD0C9C">
            <w:pPr>
              <w:pStyle w:val="Body"/>
            </w:pPr>
            <w:r w:rsidRPr="0069085F">
              <w:t>Resident information</w:t>
            </w:r>
          </w:p>
        </w:tc>
        <w:tc>
          <w:tcPr>
            <w:tcW w:w="10573" w:type="dxa"/>
          </w:tcPr>
          <w:p w14:paraId="57BDAD71" w14:textId="3F1891ED" w:rsidR="002504DD" w:rsidRDefault="002504DD" w:rsidP="00FD0C9C">
            <w:pPr>
              <w:pStyle w:val="Body"/>
            </w:pPr>
            <w:r w:rsidRPr="0069085F">
              <w:t>In the event of an outbreak, delays in contacting residents may lead to delays in testing and quarantining. Delays in accessing information about resident support needs risks effectively managing residents supports in the early stages of an outbreak response.</w:t>
            </w:r>
          </w:p>
        </w:tc>
      </w:tr>
      <w:tr w:rsidR="002504DD" w14:paraId="6BE4443D" w14:textId="77777777" w:rsidTr="00717ED8">
        <w:tc>
          <w:tcPr>
            <w:tcW w:w="4815" w:type="dxa"/>
          </w:tcPr>
          <w:p w14:paraId="604AFA04" w14:textId="567D0BE2" w:rsidR="002504DD" w:rsidRDefault="002504DD" w:rsidP="00FD0C9C">
            <w:pPr>
              <w:pStyle w:val="Body"/>
            </w:pPr>
            <w:r w:rsidRPr="0069085F">
              <w:t>Access to PPE</w:t>
            </w:r>
          </w:p>
        </w:tc>
        <w:tc>
          <w:tcPr>
            <w:tcW w:w="10573" w:type="dxa"/>
          </w:tcPr>
          <w:p w14:paraId="37665554" w14:textId="04860937" w:rsidR="002504DD" w:rsidRDefault="002504DD" w:rsidP="00FD0C9C">
            <w:pPr>
              <w:pStyle w:val="Body"/>
            </w:pPr>
            <w:r w:rsidRPr="0069085F">
              <w:t>Inadequate supply and unclear pathways for rapid access may heighten risk of transmission</w:t>
            </w:r>
          </w:p>
        </w:tc>
      </w:tr>
      <w:tr w:rsidR="002504DD" w14:paraId="1303434D" w14:textId="77777777" w:rsidTr="00717ED8">
        <w:tc>
          <w:tcPr>
            <w:tcW w:w="4815" w:type="dxa"/>
          </w:tcPr>
          <w:p w14:paraId="796284A4" w14:textId="6A0BD74D" w:rsidR="002504DD" w:rsidRPr="0069085F" w:rsidRDefault="002504DD" w:rsidP="00FD0C9C">
            <w:pPr>
              <w:pStyle w:val="Body"/>
            </w:pPr>
            <w:r w:rsidRPr="0069085F">
              <w:t>Compliance with public health Directions</w:t>
            </w:r>
          </w:p>
        </w:tc>
        <w:tc>
          <w:tcPr>
            <w:tcW w:w="10573" w:type="dxa"/>
          </w:tcPr>
          <w:p w14:paraId="53879245" w14:textId="4C68F8C5" w:rsidR="002504DD" w:rsidRPr="0069085F" w:rsidRDefault="002504DD" w:rsidP="00FD0C9C">
            <w:pPr>
              <w:pStyle w:val="Body"/>
            </w:pPr>
            <w:r w:rsidRPr="0069085F">
              <w:t>For example, in times of low community transmission there is a risk that the focus on staff and visitor attestations and other Directions may lessen</w:t>
            </w:r>
          </w:p>
        </w:tc>
      </w:tr>
    </w:tbl>
    <w:p w14:paraId="21CE683B" w14:textId="43647AB7" w:rsidR="002504DD" w:rsidRDefault="002504DD" w:rsidP="002504DD">
      <w:pPr>
        <w:pStyle w:val="Body"/>
      </w:pPr>
    </w:p>
    <w:p w14:paraId="130E3CB4" w14:textId="0C8A8984" w:rsidR="002504DD" w:rsidRPr="002504DD" w:rsidRDefault="002504DD" w:rsidP="002504DD">
      <w:pPr>
        <w:pStyle w:val="DHHStablecaption"/>
      </w:pPr>
      <w:r w:rsidRPr="002504DD">
        <w:lastRenderedPageBreak/>
        <w:t>Resident or client characteristics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Caption w:val="Risk identification"/>
        <w:tblDescription w:val="Resident or client characteristics&#10;Risk factors; Example"/>
      </w:tblPr>
      <w:tblGrid>
        <w:gridCol w:w="4815"/>
        <w:gridCol w:w="10573"/>
      </w:tblGrid>
      <w:tr w:rsidR="002504DD" w14:paraId="4DAAF4BC" w14:textId="77777777" w:rsidTr="00717ED8">
        <w:trPr>
          <w:tblHeader/>
        </w:trPr>
        <w:tc>
          <w:tcPr>
            <w:tcW w:w="4815" w:type="dxa"/>
          </w:tcPr>
          <w:p w14:paraId="243B7C04" w14:textId="77777777" w:rsidR="002504DD" w:rsidRPr="002504DD" w:rsidRDefault="002504DD" w:rsidP="005325AE">
            <w:pPr>
              <w:pStyle w:val="DHHStablecolhead"/>
            </w:pPr>
            <w:r w:rsidRPr="002504DD">
              <w:t>Risk factors</w:t>
            </w:r>
          </w:p>
        </w:tc>
        <w:tc>
          <w:tcPr>
            <w:tcW w:w="10573" w:type="dxa"/>
          </w:tcPr>
          <w:p w14:paraId="19117465" w14:textId="77777777" w:rsidR="002504DD" w:rsidRPr="002504DD" w:rsidRDefault="002504DD" w:rsidP="005325AE">
            <w:pPr>
              <w:pStyle w:val="DHHStablecolhead"/>
            </w:pPr>
            <w:r w:rsidRPr="002504DD">
              <w:t>Example</w:t>
            </w:r>
          </w:p>
        </w:tc>
      </w:tr>
      <w:tr w:rsidR="002504DD" w14:paraId="74488FCD" w14:textId="77777777" w:rsidTr="00717ED8">
        <w:tc>
          <w:tcPr>
            <w:tcW w:w="4815" w:type="dxa"/>
          </w:tcPr>
          <w:p w14:paraId="327BAEAC" w14:textId="06EAC544" w:rsidR="002504DD" w:rsidRDefault="002504DD" w:rsidP="00FD0C9C">
            <w:pPr>
              <w:pStyle w:val="Body"/>
            </w:pPr>
            <w:r w:rsidRPr="0069085F">
              <w:t>Population size, density and age distribution</w:t>
            </w:r>
          </w:p>
        </w:tc>
        <w:tc>
          <w:tcPr>
            <w:tcW w:w="10573" w:type="dxa"/>
          </w:tcPr>
          <w:p w14:paraId="4DE8BA86" w14:textId="152BFBF4" w:rsidR="002504DD" w:rsidRDefault="002504DD" w:rsidP="00FD0C9C">
            <w:pPr>
              <w:pStyle w:val="Body"/>
            </w:pPr>
            <w:r w:rsidRPr="0069085F">
              <w:t>Higher resident density and crowding may heighten risk of transmission. Older populations are at heightened risk of negative consequences from COVID-19 infection</w:t>
            </w:r>
          </w:p>
        </w:tc>
      </w:tr>
      <w:tr w:rsidR="002504DD" w14:paraId="0A744F4F" w14:textId="77777777" w:rsidTr="00717ED8">
        <w:tc>
          <w:tcPr>
            <w:tcW w:w="4815" w:type="dxa"/>
          </w:tcPr>
          <w:p w14:paraId="1EC1A59C" w14:textId="1361DFDF" w:rsidR="002504DD" w:rsidRDefault="002504DD" w:rsidP="00FD0C9C">
            <w:pPr>
              <w:pStyle w:val="Body"/>
            </w:pPr>
            <w:r w:rsidRPr="0069085F">
              <w:t>Socio-economic status (SES)</w:t>
            </w:r>
          </w:p>
        </w:tc>
        <w:tc>
          <w:tcPr>
            <w:tcW w:w="10573" w:type="dxa"/>
          </w:tcPr>
          <w:p w14:paraId="05FB0826" w14:textId="3DAFC706" w:rsidR="002504DD" w:rsidRDefault="002504DD" w:rsidP="00FD0C9C">
            <w:pPr>
              <w:pStyle w:val="Body"/>
            </w:pPr>
            <w:r w:rsidRPr="0069085F">
              <w:t>People on low incomes are more likely to be part of a casualised, mobile workforce which is less likely to have the option of working from home</w:t>
            </w:r>
          </w:p>
        </w:tc>
      </w:tr>
      <w:tr w:rsidR="002504DD" w14:paraId="5237737B" w14:textId="77777777" w:rsidTr="00717ED8">
        <w:tc>
          <w:tcPr>
            <w:tcW w:w="4815" w:type="dxa"/>
          </w:tcPr>
          <w:p w14:paraId="2B133157" w14:textId="5C625774" w:rsidR="002504DD" w:rsidRDefault="002504DD" w:rsidP="00FD0C9C">
            <w:pPr>
              <w:pStyle w:val="Body"/>
            </w:pPr>
            <w:r w:rsidRPr="0069085F">
              <w:t>Cultural and linguistic background (CALD)</w:t>
            </w:r>
          </w:p>
        </w:tc>
        <w:tc>
          <w:tcPr>
            <w:tcW w:w="10573" w:type="dxa"/>
          </w:tcPr>
          <w:p w14:paraId="1A588D75" w14:textId="394BD11F" w:rsidR="002504DD" w:rsidRDefault="002504DD" w:rsidP="00FD0C9C">
            <w:pPr>
              <w:pStyle w:val="Body"/>
            </w:pPr>
            <w:r w:rsidRPr="0069085F">
              <w:t>People from a CALD background have had higher rates of infection. This may be due to a range of reasons including English and health literacy and level of trust in government.</w:t>
            </w:r>
          </w:p>
        </w:tc>
      </w:tr>
      <w:tr w:rsidR="002504DD" w14:paraId="31915873" w14:textId="77777777" w:rsidTr="00717ED8">
        <w:tc>
          <w:tcPr>
            <w:tcW w:w="4815" w:type="dxa"/>
          </w:tcPr>
          <w:p w14:paraId="34561571" w14:textId="3E5EA12B" w:rsidR="002504DD" w:rsidRDefault="002504DD" w:rsidP="00FD0C9C">
            <w:pPr>
              <w:pStyle w:val="Body"/>
            </w:pPr>
            <w:r w:rsidRPr="0069085F">
              <w:t>Health literacy</w:t>
            </w:r>
          </w:p>
        </w:tc>
        <w:tc>
          <w:tcPr>
            <w:tcW w:w="10573" w:type="dxa"/>
          </w:tcPr>
          <w:p w14:paraId="65816F22" w14:textId="1FF823A8" w:rsidR="002504DD" w:rsidRDefault="002504DD" w:rsidP="00FD0C9C">
            <w:pPr>
              <w:pStyle w:val="Body"/>
            </w:pPr>
            <w:r w:rsidRPr="0069085F">
              <w:t>Low health literacy impacts the ability to understand and act on health messages. This may include knowledge of effective infection control practises (e.g. handwashing and wearing a face-covering)</w:t>
            </w:r>
          </w:p>
        </w:tc>
      </w:tr>
      <w:tr w:rsidR="002504DD" w14:paraId="6F1161AA" w14:textId="77777777" w:rsidTr="00717ED8">
        <w:tc>
          <w:tcPr>
            <w:tcW w:w="4815" w:type="dxa"/>
          </w:tcPr>
          <w:p w14:paraId="2FFAF93D" w14:textId="4EA73E01" w:rsidR="002504DD" w:rsidRDefault="002504DD" w:rsidP="00FD0C9C">
            <w:pPr>
              <w:pStyle w:val="Body"/>
            </w:pPr>
            <w:r w:rsidRPr="0069085F">
              <w:t>Health and social support needs</w:t>
            </w:r>
          </w:p>
        </w:tc>
        <w:tc>
          <w:tcPr>
            <w:tcW w:w="10573" w:type="dxa"/>
          </w:tcPr>
          <w:p w14:paraId="4A385B3F" w14:textId="44F52351" w:rsidR="002504DD" w:rsidRDefault="002504DD" w:rsidP="00FD0C9C">
            <w:pPr>
              <w:pStyle w:val="Body"/>
            </w:pPr>
            <w:r w:rsidRPr="0069085F">
              <w:t>People with pre-existing comorbidities or require other intensive social supports may be at higher risk of negative consequences from COVID-19 infection</w:t>
            </w:r>
          </w:p>
        </w:tc>
      </w:tr>
      <w:tr w:rsidR="002504DD" w14:paraId="198481BB" w14:textId="77777777" w:rsidTr="00717ED8">
        <w:tc>
          <w:tcPr>
            <w:tcW w:w="4815" w:type="dxa"/>
          </w:tcPr>
          <w:p w14:paraId="08DCB88A" w14:textId="272DF1E8" w:rsidR="002504DD" w:rsidRPr="0069085F" w:rsidRDefault="002504DD" w:rsidP="00FD0C9C">
            <w:pPr>
              <w:pStyle w:val="Body"/>
            </w:pPr>
            <w:r w:rsidRPr="0069085F">
              <w:t>Cognitive abilities of residents/clients and compliance capability</w:t>
            </w:r>
          </w:p>
        </w:tc>
        <w:tc>
          <w:tcPr>
            <w:tcW w:w="10573" w:type="dxa"/>
          </w:tcPr>
          <w:p w14:paraId="16A02A53" w14:textId="410C2C1F" w:rsidR="002504DD" w:rsidRPr="0069085F" w:rsidRDefault="002504DD" w:rsidP="00FD0C9C">
            <w:pPr>
              <w:pStyle w:val="Body"/>
            </w:pPr>
            <w:r w:rsidRPr="0069085F">
              <w:t>People with cognitive impairment may not understand public heath directions and require a high level of support to adhere to advice</w:t>
            </w:r>
          </w:p>
        </w:tc>
      </w:tr>
    </w:tbl>
    <w:p w14:paraId="2B90E0D4" w14:textId="1C45D3A4" w:rsidR="002504DD" w:rsidRDefault="002504DD" w:rsidP="00931F10"/>
    <w:p w14:paraId="3DD4EE5B" w14:textId="77777777" w:rsidR="002504DD" w:rsidRDefault="002504DD">
      <w:pPr>
        <w:spacing w:after="0" w:line="240" w:lineRule="auto"/>
      </w:pPr>
      <w:r>
        <w:br w:type="page"/>
      </w:r>
    </w:p>
    <w:p w14:paraId="700DF7D0" w14:textId="76FA526B" w:rsidR="00931F10" w:rsidRPr="002504DD" w:rsidRDefault="00384990" w:rsidP="002504DD">
      <w:pPr>
        <w:pStyle w:val="Heading4"/>
      </w:pPr>
      <w:r w:rsidRPr="002504DD">
        <w:lastRenderedPageBreak/>
        <w:t>Accommodation settings</w:t>
      </w:r>
    </w:p>
    <w:tbl>
      <w:tblPr>
        <w:tblW w:w="500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Accommodation settings"/>
        <w:tblDescription w:val="Accommodation type; Characteristics; Considerations"/>
      </w:tblPr>
      <w:tblGrid>
        <w:gridCol w:w="1577"/>
        <w:gridCol w:w="1430"/>
        <w:gridCol w:w="5152"/>
        <w:gridCol w:w="7388"/>
      </w:tblGrid>
      <w:tr w:rsidR="00931F10" w:rsidRPr="0069085F" w14:paraId="15F5BF08" w14:textId="77777777" w:rsidTr="00C5695C">
        <w:trPr>
          <w:trHeight w:val="290"/>
          <w:tblHeader/>
        </w:trPr>
        <w:tc>
          <w:tcPr>
            <w:tcW w:w="507" w:type="pct"/>
            <w:shd w:val="clear" w:color="auto" w:fill="auto"/>
            <w:noWrap/>
            <w:vAlign w:val="bottom"/>
            <w:hideMark/>
          </w:tcPr>
          <w:p w14:paraId="62E8CC63" w14:textId="77777777" w:rsidR="00931F10" w:rsidRPr="00607609" w:rsidRDefault="00931F10" w:rsidP="005325AE">
            <w:pPr>
              <w:pStyle w:val="DHHStablecolhead"/>
            </w:pPr>
          </w:p>
        </w:tc>
        <w:tc>
          <w:tcPr>
            <w:tcW w:w="460" w:type="pct"/>
            <w:shd w:val="clear" w:color="auto" w:fill="auto"/>
            <w:noWrap/>
            <w:vAlign w:val="bottom"/>
            <w:hideMark/>
          </w:tcPr>
          <w:p w14:paraId="17F5EC7A" w14:textId="77777777" w:rsidR="00931F10" w:rsidRPr="00607609" w:rsidRDefault="00931F10" w:rsidP="005325AE">
            <w:pPr>
              <w:pStyle w:val="DHHStablecolhead"/>
            </w:pPr>
          </w:p>
        </w:tc>
        <w:tc>
          <w:tcPr>
            <w:tcW w:w="1657" w:type="pct"/>
            <w:shd w:val="clear" w:color="auto" w:fill="auto"/>
            <w:noWrap/>
            <w:vAlign w:val="bottom"/>
            <w:hideMark/>
          </w:tcPr>
          <w:p w14:paraId="507DB71F" w14:textId="4120406E" w:rsidR="00931F10" w:rsidRPr="00607609" w:rsidRDefault="00384990" w:rsidP="005325AE">
            <w:pPr>
              <w:pStyle w:val="DHHStablecolhead"/>
            </w:pPr>
            <w:r w:rsidRPr="00607609">
              <w:t>Characteristics</w:t>
            </w:r>
          </w:p>
        </w:tc>
        <w:tc>
          <w:tcPr>
            <w:tcW w:w="2376" w:type="pct"/>
            <w:shd w:val="clear" w:color="auto" w:fill="auto"/>
            <w:noWrap/>
            <w:vAlign w:val="bottom"/>
            <w:hideMark/>
          </w:tcPr>
          <w:p w14:paraId="01E6FFF3" w14:textId="7E3ACB37" w:rsidR="00931F10" w:rsidRPr="00607609" w:rsidRDefault="00384990" w:rsidP="005325AE">
            <w:pPr>
              <w:pStyle w:val="DHHStablecolhead"/>
            </w:pPr>
            <w:r w:rsidRPr="00607609">
              <w:t>Considerations</w:t>
            </w:r>
          </w:p>
        </w:tc>
      </w:tr>
      <w:tr w:rsidR="00607609" w:rsidRPr="0069085F" w14:paraId="22EF4F15" w14:textId="77777777" w:rsidTr="00C5695C">
        <w:trPr>
          <w:trHeight w:val="1467"/>
        </w:trPr>
        <w:tc>
          <w:tcPr>
            <w:tcW w:w="507" w:type="pct"/>
            <w:tcBorders>
              <w:bottom w:val="single" w:sz="4" w:space="0" w:color="FFFFFF" w:themeColor="background1"/>
            </w:tcBorders>
            <w:shd w:val="clear" w:color="auto" w:fill="auto"/>
            <w:hideMark/>
          </w:tcPr>
          <w:p w14:paraId="0FAE60C4" w14:textId="77777777" w:rsidR="00607609" w:rsidRPr="00C5695C" w:rsidRDefault="00607609" w:rsidP="00C5695C">
            <w:pPr>
              <w:pStyle w:val="DHHStabletext9pt"/>
              <w:rPr>
                <w:rStyle w:val="Strong"/>
              </w:rPr>
            </w:pPr>
            <w:r w:rsidRPr="00C5695C">
              <w:rPr>
                <w:rStyle w:val="Strong"/>
              </w:rPr>
              <w:t xml:space="preserve">High rise public housing towers, mid and low-rise public housing </w:t>
            </w:r>
          </w:p>
        </w:tc>
        <w:tc>
          <w:tcPr>
            <w:tcW w:w="460" w:type="pct"/>
            <w:shd w:val="clear" w:color="auto" w:fill="auto"/>
            <w:hideMark/>
          </w:tcPr>
          <w:p w14:paraId="2FC2F4EE" w14:textId="77777777" w:rsidR="00607609" w:rsidRPr="00607609" w:rsidRDefault="00607609" w:rsidP="00C5695C">
            <w:pPr>
              <w:pStyle w:val="DHHStabletext9pt"/>
            </w:pPr>
            <w:r w:rsidRPr="00607609">
              <w:t xml:space="preserve">Physical environment </w:t>
            </w:r>
          </w:p>
        </w:tc>
        <w:tc>
          <w:tcPr>
            <w:tcW w:w="1657" w:type="pct"/>
            <w:shd w:val="clear" w:color="auto" w:fill="auto"/>
            <w:hideMark/>
          </w:tcPr>
          <w:p w14:paraId="10DC196E" w14:textId="77777777" w:rsidR="00607609" w:rsidRDefault="00607609" w:rsidP="00C5695C">
            <w:pPr>
              <w:pStyle w:val="DHHStabletext9pt"/>
            </w:pPr>
            <w:r w:rsidRPr="00607609">
              <w:t xml:space="preserve">* Large number of residents living on site in separate dwellings </w:t>
            </w:r>
          </w:p>
          <w:p w14:paraId="653B0B00" w14:textId="4B4428C0" w:rsidR="00607609" w:rsidRPr="00607609" w:rsidRDefault="00607609" w:rsidP="00C5695C">
            <w:pPr>
              <w:pStyle w:val="DHHStabletext9pt"/>
            </w:pPr>
            <w:r w:rsidRPr="00607609">
              <w:t>* Some shared areas including foyers, lifts, hallways, laundries and playgrounds</w:t>
            </w:r>
          </w:p>
        </w:tc>
        <w:tc>
          <w:tcPr>
            <w:tcW w:w="2376" w:type="pct"/>
            <w:tcBorders>
              <w:bottom w:val="single" w:sz="4" w:space="0" w:color="FFFFFF" w:themeColor="background1"/>
            </w:tcBorders>
            <w:shd w:val="clear" w:color="auto" w:fill="auto"/>
            <w:hideMark/>
          </w:tcPr>
          <w:p w14:paraId="1C340E06" w14:textId="77777777" w:rsidR="00607609" w:rsidRPr="00607609" w:rsidRDefault="00607609" w:rsidP="00C5695C">
            <w:pPr>
              <w:pStyle w:val="DHHStabletext9pt"/>
            </w:pPr>
            <w:r w:rsidRPr="00607609">
              <w:t>These are accommodation only settings therefore they do not have support staff (although individual residents may receive support services) to leverage quick engagement with residents.</w:t>
            </w:r>
          </w:p>
          <w:p w14:paraId="17E3AEF5" w14:textId="77777777" w:rsidR="00607609" w:rsidRPr="00607609" w:rsidRDefault="00607609" w:rsidP="00C5695C">
            <w:pPr>
              <w:pStyle w:val="DHHStabletext9pt"/>
            </w:pPr>
            <w:r w:rsidRPr="00607609">
              <w:t xml:space="preserve">Resident names and contact details may not be quickly available in these settings and there is a possibility the names on the lists and tenancy agreements may not be the people living at the premises, or there may be additional people living onsite. </w:t>
            </w:r>
          </w:p>
          <w:p w14:paraId="2521F636" w14:textId="3A09753E" w:rsidR="00607609" w:rsidRPr="00607609" w:rsidRDefault="00607609" w:rsidP="00C5695C">
            <w:pPr>
              <w:pStyle w:val="DHHStabletext9pt"/>
            </w:pPr>
            <w:r w:rsidRPr="00607609">
              <w:t>High risk - Requires health concierge, community services, community leaders or the outbreak management team to establish contact with residents which may delay the critical early stages of outbreak management.</w:t>
            </w:r>
          </w:p>
        </w:tc>
      </w:tr>
      <w:tr w:rsidR="00607609" w:rsidRPr="0069085F" w14:paraId="3FC921CA" w14:textId="77777777" w:rsidTr="00C5695C">
        <w:trPr>
          <w:trHeight w:val="2171"/>
        </w:trPr>
        <w:tc>
          <w:tcPr>
            <w:tcW w:w="507" w:type="pct"/>
            <w:tcBorders>
              <w:top w:val="single" w:sz="4" w:space="0" w:color="FFFFFF" w:themeColor="background1"/>
            </w:tcBorders>
            <w:shd w:val="clear" w:color="auto" w:fill="auto"/>
            <w:hideMark/>
          </w:tcPr>
          <w:p w14:paraId="51B9ADD2" w14:textId="77777777" w:rsidR="00607609" w:rsidRPr="00C5695C" w:rsidRDefault="00607609" w:rsidP="00C5695C">
            <w:pPr>
              <w:pStyle w:val="DHHStabletext9pt"/>
              <w:rPr>
                <w:rStyle w:val="Strong"/>
              </w:rPr>
            </w:pPr>
          </w:p>
        </w:tc>
        <w:tc>
          <w:tcPr>
            <w:tcW w:w="460" w:type="pct"/>
            <w:shd w:val="clear" w:color="auto" w:fill="auto"/>
            <w:hideMark/>
          </w:tcPr>
          <w:p w14:paraId="5B4E3F48" w14:textId="77777777" w:rsidR="00607609" w:rsidRPr="00607609" w:rsidRDefault="00607609" w:rsidP="00C5695C">
            <w:pPr>
              <w:pStyle w:val="DHHStabletext9pt"/>
            </w:pPr>
            <w:r w:rsidRPr="00607609">
              <w:t>Residents and staffing</w:t>
            </w:r>
          </w:p>
        </w:tc>
        <w:tc>
          <w:tcPr>
            <w:tcW w:w="1657" w:type="pct"/>
            <w:shd w:val="clear" w:color="auto" w:fill="auto"/>
            <w:hideMark/>
          </w:tcPr>
          <w:p w14:paraId="6F85C339" w14:textId="77777777" w:rsidR="00607609" w:rsidRDefault="00607609" w:rsidP="00C5695C">
            <w:pPr>
              <w:pStyle w:val="DHHStabletext9pt"/>
            </w:pPr>
            <w:r w:rsidRPr="00607609">
              <w:t xml:space="preserve">* Lists of registered residents are maintained but, unregistered residents may also live onsite </w:t>
            </w:r>
          </w:p>
          <w:p w14:paraId="38A4789E" w14:textId="77777777" w:rsidR="00607609" w:rsidRDefault="00607609" w:rsidP="00C5695C">
            <w:pPr>
              <w:pStyle w:val="DHHStabletext9pt"/>
            </w:pPr>
            <w:r w:rsidRPr="00607609">
              <w:t>* Higher proportion of people from CALD communities</w:t>
            </w:r>
          </w:p>
          <w:p w14:paraId="2A6AC463" w14:textId="77777777" w:rsidR="00607609" w:rsidRDefault="00607609" w:rsidP="00C5695C">
            <w:pPr>
              <w:pStyle w:val="DHHStabletext9pt"/>
            </w:pPr>
            <w:r w:rsidRPr="00607609">
              <w:t>* No staffing</w:t>
            </w:r>
          </w:p>
          <w:p w14:paraId="253B38B0" w14:textId="77777777" w:rsidR="00607609" w:rsidRDefault="00607609" w:rsidP="00C5695C">
            <w:pPr>
              <w:pStyle w:val="DHHStabletext9pt"/>
            </w:pPr>
            <w:r w:rsidRPr="00607609">
              <w:t>* Information about resident support needs is not readily available</w:t>
            </w:r>
          </w:p>
          <w:p w14:paraId="63DE9FDF" w14:textId="6A5DA2CB" w:rsidR="00607609" w:rsidRPr="00607609" w:rsidRDefault="00607609" w:rsidP="00C5695C">
            <w:pPr>
              <w:pStyle w:val="DHHStabletext9pt"/>
            </w:pPr>
            <w:r w:rsidRPr="00607609">
              <w:t>* Low resident turnover</w:t>
            </w:r>
          </w:p>
        </w:tc>
        <w:tc>
          <w:tcPr>
            <w:tcW w:w="2376" w:type="pct"/>
            <w:tcBorders>
              <w:top w:val="single" w:sz="4" w:space="0" w:color="FFFFFF" w:themeColor="background1"/>
            </w:tcBorders>
            <w:shd w:val="clear" w:color="auto" w:fill="auto"/>
            <w:hideMark/>
          </w:tcPr>
          <w:p w14:paraId="6EA80B5F" w14:textId="77777777" w:rsidR="00607609" w:rsidRPr="00607609" w:rsidRDefault="00607609" w:rsidP="00C5695C">
            <w:pPr>
              <w:pStyle w:val="DHHStabletext9pt"/>
            </w:pPr>
          </w:p>
        </w:tc>
      </w:tr>
      <w:tr w:rsidR="00931F10" w:rsidRPr="0069085F" w14:paraId="6C4F0B29" w14:textId="77777777" w:rsidTr="00C5695C">
        <w:trPr>
          <w:trHeight w:val="443"/>
        </w:trPr>
        <w:tc>
          <w:tcPr>
            <w:tcW w:w="507" w:type="pct"/>
            <w:tcBorders>
              <w:bottom w:val="single" w:sz="4" w:space="0" w:color="FFFFFF" w:themeColor="background1"/>
            </w:tcBorders>
            <w:shd w:val="clear" w:color="auto" w:fill="auto"/>
            <w:noWrap/>
            <w:hideMark/>
          </w:tcPr>
          <w:p w14:paraId="222219FA" w14:textId="77777777" w:rsidR="00931F10" w:rsidRPr="00C5695C" w:rsidRDefault="00931F10" w:rsidP="00C5695C">
            <w:pPr>
              <w:pStyle w:val="DHHStabletext9pt"/>
              <w:rPr>
                <w:rStyle w:val="Strong"/>
              </w:rPr>
            </w:pPr>
            <w:r w:rsidRPr="00C5695C">
              <w:rPr>
                <w:rStyle w:val="Strong"/>
              </w:rPr>
              <w:t>Community housing</w:t>
            </w:r>
          </w:p>
        </w:tc>
        <w:tc>
          <w:tcPr>
            <w:tcW w:w="460" w:type="pct"/>
            <w:shd w:val="clear" w:color="auto" w:fill="auto"/>
            <w:hideMark/>
          </w:tcPr>
          <w:p w14:paraId="114B4C43" w14:textId="77777777" w:rsidR="00931F10" w:rsidRPr="00607609" w:rsidRDefault="00931F10" w:rsidP="00C5695C">
            <w:pPr>
              <w:pStyle w:val="DHHStabletext9pt"/>
            </w:pPr>
            <w:r w:rsidRPr="00607609">
              <w:t xml:space="preserve">Physical environment </w:t>
            </w:r>
          </w:p>
        </w:tc>
        <w:tc>
          <w:tcPr>
            <w:tcW w:w="1657" w:type="pct"/>
            <w:shd w:val="clear" w:color="auto" w:fill="auto"/>
            <w:hideMark/>
          </w:tcPr>
          <w:p w14:paraId="2280FD75" w14:textId="77777777" w:rsidR="00607609" w:rsidRDefault="00931F10" w:rsidP="00C5695C">
            <w:pPr>
              <w:pStyle w:val="DHHStabletext9pt"/>
            </w:pPr>
            <w:r w:rsidRPr="00607609">
              <w:t>* Operated by not-for-profit community housing organisations</w:t>
            </w:r>
          </w:p>
          <w:p w14:paraId="10B961E9" w14:textId="04A0A906" w:rsidR="00931F10" w:rsidRPr="00607609" w:rsidRDefault="00931F10" w:rsidP="00C5695C">
            <w:pPr>
              <w:pStyle w:val="DHHStabletext9pt"/>
            </w:pPr>
            <w:r w:rsidRPr="00607609">
              <w:t>* Residents living in separate dwellings</w:t>
            </w:r>
          </w:p>
        </w:tc>
        <w:tc>
          <w:tcPr>
            <w:tcW w:w="2376" w:type="pct"/>
            <w:tcBorders>
              <w:bottom w:val="single" w:sz="4" w:space="0" w:color="FFFFFF" w:themeColor="background1"/>
            </w:tcBorders>
            <w:shd w:val="clear" w:color="auto" w:fill="auto"/>
            <w:hideMark/>
          </w:tcPr>
          <w:p w14:paraId="1B4269DC" w14:textId="77777777" w:rsidR="00607609" w:rsidRPr="00607609" w:rsidRDefault="00931F10" w:rsidP="00C5695C">
            <w:pPr>
              <w:pStyle w:val="DHHStabletext9pt"/>
            </w:pPr>
            <w:r w:rsidRPr="00607609">
              <w:t>These are accommodation only settings therefore they do not have support staff (although individual residents may receive support services) to leverage quick engagement with residents.</w:t>
            </w:r>
          </w:p>
          <w:p w14:paraId="79D0723C" w14:textId="77777777" w:rsidR="00607609" w:rsidRPr="00607609" w:rsidRDefault="00931F10" w:rsidP="00C5695C">
            <w:pPr>
              <w:pStyle w:val="DHHStabletext9pt"/>
            </w:pPr>
            <w:r w:rsidRPr="00607609">
              <w:t xml:space="preserve">Resident names and contact details may not be quickly available in these settings and there is a possibility the names on the lists and tenancy agreements may not be the people living at the premises, or there may be additional people living onsite. </w:t>
            </w:r>
          </w:p>
          <w:p w14:paraId="32EDEAA2" w14:textId="19415116" w:rsidR="00931F10" w:rsidRPr="00607609" w:rsidRDefault="00931F10" w:rsidP="00C5695C">
            <w:pPr>
              <w:pStyle w:val="DHHStabletext9pt"/>
            </w:pPr>
            <w:r w:rsidRPr="00607609">
              <w:t>Community service providers may need to door knock to establish contact with residents which may delay the critical early stages of outbreak management.</w:t>
            </w:r>
          </w:p>
        </w:tc>
      </w:tr>
      <w:tr w:rsidR="00607609" w:rsidRPr="0069085F" w14:paraId="77F8FE3E" w14:textId="77777777" w:rsidTr="00C5695C">
        <w:trPr>
          <w:trHeight w:val="1272"/>
        </w:trPr>
        <w:tc>
          <w:tcPr>
            <w:tcW w:w="507" w:type="pct"/>
            <w:tcBorders>
              <w:top w:val="single" w:sz="4" w:space="0" w:color="FFFFFF" w:themeColor="background1"/>
            </w:tcBorders>
            <w:shd w:val="clear" w:color="auto" w:fill="auto"/>
            <w:hideMark/>
          </w:tcPr>
          <w:p w14:paraId="2F6C1A95" w14:textId="77777777" w:rsidR="00607609" w:rsidRPr="00C5695C" w:rsidRDefault="00607609" w:rsidP="00C5695C">
            <w:pPr>
              <w:pStyle w:val="DHHStabletext9pt"/>
              <w:rPr>
                <w:rStyle w:val="Strong"/>
              </w:rPr>
            </w:pPr>
          </w:p>
        </w:tc>
        <w:tc>
          <w:tcPr>
            <w:tcW w:w="460" w:type="pct"/>
            <w:shd w:val="clear" w:color="auto" w:fill="auto"/>
            <w:hideMark/>
          </w:tcPr>
          <w:p w14:paraId="6144952D" w14:textId="77777777" w:rsidR="00607609" w:rsidRPr="00607609" w:rsidRDefault="00607609" w:rsidP="00C5695C">
            <w:pPr>
              <w:pStyle w:val="DHHStabletext9pt"/>
            </w:pPr>
            <w:r w:rsidRPr="00607609">
              <w:t>Residents and staffing</w:t>
            </w:r>
          </w:p>
        </w:tc>
        <w:tc>
          <w:tcPr>
            <w:tcW w:w="1657" w:type="pct"/>
            <w:shd w:val="clear" w:color="auto" w:fill="auto"/>
            <w:hideMark/>
          </w:tcPr>
          <w:p w14:paraId="595871A3" w14:textId="77777777" w:rsidR="00607609" w:rsidRDefault="00607609" w:rsidP="00C5695C">
            <w:pPr>
              <w:pStyle w:val="DHHStabletext9pt"/>
            </w:pPr>
            <w:r w:rsidRPr="00607609">
              <w:t>* Often tenanted by large families (5 or more people) or by people not registered on the lease</w:t>
            </w:r>
          </w:p>
          <w:p w14:paraId="5550642E" w14:textId="77777777" w:rsidR="00607609" w:rsidRDefault="00607609" w:rsidP="00C5695C">
            <w:pPr>
              <w:pStyle w:val="DHHStabletext9pt"/>
            </w:pPr>
            <w:r w:rsidRPr="00607609">
              <w:t>* Higher proportion of people from CALD communities</w:t>
            </w:r>
          </w:p>
          <w:p w14:paraId="37C9A51A" w14:textId="77777777" w:rsidR="00607609" w:rsidRDefault="00607609" w:rsidP="00C5695C">
            <w:pPr>
              <w:pStyle w:val="DHHStabletext9pt"/>
            </w:pPr>
            <w:r w:rsidRPr="00607609">
              <w:t xml:space="preserve">* No staffing </w:t>
            </w:r>
          </w:p>
          <w:p w14:paraId="0B741EB8" w14:textId="77777777" w:rsidR="00607609" w:rsidRDefault="00607609" w:rsidP="00C5695C">
            <w:pPr>
              <w:pStyle w:val="DHHStabletext9pt"/>
            </w:pPr>
            <w:r w:rsidRPr="00607609">
              <w:t>* Information about residents’ support needs is not readily available</w:t>
            </w:r>
          </w:p>
          <w:p w14:paraId="1F1BD164" w14:textId="3212848F" w:rsidR="00607609" w:rsidRPr="00607609" w:rsidRDefault="00607609" w:rsidP="00C5695C">
            <w:pPr>
              <w:pStyle w:val="DHHStabletext9pt"/>
            </w:pPr>
            <w:r w:rsidRPr="00607609">
              <w:t>* Low resident turnover</w:t>
            </w:r>
          </w:p>
        </w:tc>
        <w:tc>
          <w:tcPr>
            <w:tcW w:w="2376" w:type="pct"/>
            <w:tcBorders>
              <w:top w:val="single" w:sz="4" w:space="0" w:color="FFFFFF" w:themeColor="background1"/>
            </w:tcBorders>
            <w:shd w:val="clear" w:color="auto" w:fill="auto"/>
            <w:hideMark/>
          </w:tcPr>
          <w:p w14:paraId="093CAE57" w14:textId="77777777" w:rsidR="00607609" w:rsidRPr="0069085F" w:rsidRDefault="00607609" w:rsidP="00C5695C">
            <w:pPr>
              <w:pStyle w:val="DHHStabletext9pt"/>
              <w:rPr>
                <w:rFonts w:ascii="Calibri" w:hAnsi="Calibri" w:cs="Calibri"/>
                <w:color w:val="000000"/>
              </w:rPr>
            </w:pPr>
          </w:p>
        </w:tc>
      </w:tr>
      <w:tr w:rsidR="00607609" w:rsidRPr="0069085F" w14:paraId="756FACC8" w14:textId="77777777" w:rsidTr="00C5695C">
        <w:trPr>
          <w:trHeight w:val="502"/>
        </w:trPr>
        <w:tc>
          <w:tcPr>
            <w:tcW w:w="507" w:type="pct"/>
            <w:tcBorders>
              <w:bottom w:val="single" w:sz="4" w:space="0" w:color="FFFFFF" w:themeColor="background1"/>
            </w:tcBorders>
            <w:shd w:val="clear" w:color="auto" w:fill="auto"/>
            <w:noWrap/>
            <w:hideMark/>
          </w:tcPr>
          <w:p w14:paraId="263E8B08" w14:textId="77777777" w:rsidR="00607609" w:rsidRPr="00C5695C" w:rsidRDefault="00607609" w:rsidP="00C5695C">
            <w:pPr>
              <w:pStyle w:val="DHHStabletext9pt"/>
              <w:rPr>
                <w:rStyle w:val="Strong"/>
              </w:rPr>
            </w:pPr>
            <w:r w:rsidRPr="00C5695C">
              <w:rPr>
                <w:rStyle w:val="Strong"/>
              </w:rPr>
              <w:lastRenderedPageBreak/>
              <w:t>Rooming houses</w:t>
            </w:r>
          </w:p>
        </w:tc>
        <w:tc>
          <w:tcPr>
            <w:tcW w:w="460" w:type="pct"/>
            <w:shd w:val="clear" w:color="auto" w:fill="auto"/>
            <w:hideMark/>
          </w:tcPr>
          <w:p w14:paraId="48688B25" w14:textId="77777777" w:rsidR="00607609" w:rsidRPr="00607609" w:rsidRDefault="00607609" w:rsidP="00C5695C">
            <w:pPr>
              <w:pStyle w:val="DHHStabletext9pt"/>
            </w:pPr>
            <w:r w:rsidRPr="00607609">
              <w:t xml:space="preserve">Physical environment </w:t>
            </w:r>
          </w:p>
        </w:tc>
        <w:tc>
          <w:tcPr>
            <w:tcW w:w="1657" w:type="pct"/>
            <w:shd w:val="clear" w:color="auto" w:fill="auto"/>
            <w:hideMark/>
          </w:tcPr>
          <w:p w14:paraId="1DFCA7E0" w14:textId="77777777" w:rsidR="00607609" w:rsidRDefault="00607609" w:rsidP="00C5695C">
            <w:pPr>
              <w:pStyle w:val="DHHStabletext9pt"/>
            </w:pPr>
            <w:r w:rsidRPr="00607609">
              <w:t xml:space="preserve">* Privately owned and operated or operated by Community Housing Associations </w:t>
            </w:r>
          </w:p>
          <w:p w14:paraId="56784142" w14:textId="77777777" w:rsidR="00607609" w:rsidRDefault="00607609" w:rsidP="00C5695C">
            <w:pPr>
              <w:pStyle w:val="DHHStabletext9pt"/>
            </w:pPr>
            <w:r w:rsidRPr="00607609">
              <w:t xml:space="preserve">* Some unregistered people may also live at the premises  </w:t>
            </w:r>
          </w:p>
          <w:p w14:paraId="6DAEF117" w14:textId="07E77B77" w:rsidR="00607609" w:rsidRPr="00607609" w:rsidRDefault="00607609" w:rsidP="00C5695C">
            <w:pPr>
              <w:pStyle w:val="DHHStabletext9pt"/>
            </w:pPr>
            <w:r w:rsidRPr="00607609">
              <w:t>* Residents usually have their own bedrooms, but all other rooms are shared</w:t>
            </w:r>
          </w:p>
        </w:tc>
        <w:tc>
          <w:tcPr>
            <w:tcW w:w="2376" w:type="pct"/>
            <w:tcBorders>
              <w:bottom w:val="single" w:sz="4" w:space="0" w:color="FFFFFF" w:themeColor="background1"/>
            </w:tcBorders>
            <w:shd w:val="clear" w:color="auto" w:fill="auto"/>
            <w:hideMark/>
          </w:tcPr>
          <w:p w14:paraId="6B63F9B6" w14:textId="77777777" w:rsidR="00607609" w:rsidRPr="0069085F" w:rsidRDefault="00607609" w:rsidP="00C5695C">
            <w:pPr>
              <w:pStyle w:val="DHHStabletext9pt"/>
              <w:rPr>
                <w:rFonts w:ascii="Calibri" w:hAnsi="Calibri" w:cs="Calibri"/>
                <w:color w:val="000000"/>
              </w:rPr>
            </w:pPr>
          </w:p>
        </w:tc>
      </w:tr>
      <w:tr w:rsidR="00C5695C" w:rsidRPr="0069085F" w14:paraId="73870BA3" w14:textId="77777777" w:rsidTr="00C5695C">
        <w:trPr>
          <w:trHeight w:val="954"/>
        </w:trPr>
        <w:tc>
          <w:tcPr>
            <w:tcW w:w="507" w:type="pct"/>
            <w:tcBorders>
              <w:top w:val="single" w:sz="4" w:space="0" w:color="FFFFFF" w:themeColor="background1"/>
            </w:tcBorders>
            <w:shd w:val="clear" w:color="auto" w:fill="auto"/>
            <w:hideMark/>
          </w:tcPr>
          <w:p w14:paraId="584463A0" w14:textId="77777777" w:rsidR="00607609" w:rsidRPr="00C5695C" w:rsidRDefault="00607609" w:rsidP="00C5695C">
            <w:pPr>
              <w:pStyle w:val="DHHStabletext9pt"/>
              <w:rPr>
                <w:rStyle w:val="Strong"/>
              </w:rPr>
            </w:pPr>
          </w:p>
        </w:tc>
        <w:tc>
          <w:tcPr>
            <w:tcW w:w="460" w:type="pct"/>
            <w:shd w:val="clear" w:color="auto" w:fill="auto"/>
            <w:hideMark/>
          </w:tcPr>
          <w:p w14:paraId="52AECB6A" w14:textId="77777777" w:rsidR="00607609" w:rsidRPr="00607609" w:rsidRDefault="00607609" w:rsidP="00C5695C">
            <w:pPr>
              <w:pStyle w:val="DHHStabletext9pt"/>
            </w:pPr>
            <w:r w:rsidRPr="00607609">
              <w:t>Residents and staffing</w:t>
            </w:r>
          </w:p>
        </w:tc>
        <w:tc>
          <w:tcPr>
            <w:tcW w:w="1657" w:type="pct"/>
            <w:shd w:val="clear" w:color="auto" w:fill="auto"/>
            <w:hideMark/>
          </w:tcPr>
          <w:p w14:paraId="5BF52A34" w14:textId="77777777" w:rsidR="00607609" w:rsidRDefault="00607609" w:rsidP="00C5695C">
            <w:pPr>
              <w:pStyle w:val="DHHStabletext9pt"/>
            </w:pPr>
            <w:r w:rsidRPr="00607609">
              <w:t>* Higher proportion of people from CALD communities</w:t>
            </w:r>
          </w:p>
          <w:p w14:paraId="3175D30D" w14:textId="77777777" w:rsidR="00607609" w:rsidRDefault="00607609" w:rsidP="00C5695C">
            <w:pPr>
              <w:pStyle w:val="DHHStabletext9pt"/>
            </w:pPr>
            <w:r w:rsidRPr="00607609">
              <w:t>* No staffing but may have proprietors or onsite managers involved</w:t>
            </w:r>
          </w:p>
          <w:p w14:paraId="6BFA66EA" w14:textId="77777777" w:rsidR="00607609" w:rsidRDefault="00607609" w:rsidP="00C5695C">
            <w:pPr>
              <w:pStyle w:val="DHHStabletext9pt"/>
            </w:pPr>
            <w:r w:rsidRPr="00607609">
              <w:t>* Information about residents’ support needs is not readily available</w:t>
            </w:r>
          </w:p>
          <w:p w14:paraId="16BE76A1" w14:textId="6042566C" w:rsidR="00607609" w:rsidRPr="00607609" w:rsidRDefault="00607609" w:rsidP="00C5695C">
            <w:pPr>
              <w:pStyle w:val="DHHStabletext9pt"/>
            </w:pPr>
            <w:r w:rsidRPr="00607609">
              <w:t>* Medium-high resident turnover</w:t>
            </w:r>
          </w:p>
        </w:tc>
        <w:tc>
          <w:tcPr>
            <w:tcW w:w="2376" w:type="pct"/>
            <w:tcBorders>
              <w:top w:val="single" w:sz="4" w:space="0" w:color="FFFFFF" w:themeColor="background1"/>
            </w:tcBorders>
            <w:shd w:val="clear" w:color="auto" w:fill="auto"/>
            <w:hideMark/>
          </w:tcPr>
          <w:p w14:paraId="23D9BF27" w14:textId="77777777" w:rsidR="00607609" w:rsidRPr="0069085F" w:rsidRDefault="00607609" w:rsidP="00C5695C">
            <w:pPr>
              <w:pStyle w:val="DHHStabletext9pt"/>
              <w:rPr>
                <w:rFonts w:ascii="Calibri" w:hAnsi="Calibri" w:cs="Calibri"/>
                <w:color w:val="000000"/>
              </w:rPr>
            </w:pPr>
          </w:p>
        </w:tc>
      </w:tr>
      <w:tr w:rsidR="00931F10" w:rsidRPr="0069085F" w14:paraId="24A19960" w14:textId="77777777" w:rsidTr="00C5695C">
        <w:trPr>
          <w:trHeight w:val="1010"/>
        </w:trPr>
        <w:tc>
          <w:tcPr>
            <w:tcW w:w="507" w:type="pct"/>
            <w:tcBorders>
              <w:bottom w:val="single" w:sz="4" w:space="0" w:color="FFFFFF" w:themeColor="background1"/>
            </w:tcBorders>
            <w:shd w:val="clear" w:color="auto" w:fill="auto"/>
            <w:noWrap/>
            <w:hideMark/>
          </w:tcPr>
          <w:p w14:paraId="2382D130" w14:textId="1E5A0B06" w:rsidR="00931F10" w:rsidRPr="00C5695C" w:rsidRDefault="00931F10" w:rsidP="00C5695C">
            <w:pPr>
              <w:pStyle w:val="DHHStabletext9pt"/>
              <w:rPr>
                <w:rStyle w:val="Strong"/>
              </w:rPr>
            </w:pPr>
            <w:r w:rsidRPr="00C5695C">
              <w:rPr>
                <w:rStyle w:val="Strong"/>
              </w:rPr>
              <w:t>SRS &amp; Disability Residential Settings</w:t>
            </w:r>
          </w:p>
        </w:tc>
        <w:tc>
          <w:tcPr>
            <w:tcW w:w="460" w:type="pct"/>
            <w:shd w:val="clear" w:color="auto" w:fill="auto"/>
            <w:hideMark/>
          </w:tcPr>
          <w:p w14:paraId="6C9FEB29" w14:textId="77777777" w:rsidR="00931F10" w:rsidRPr="00607609" w:rsidRDefault="00931F10" w:rsidP="00C5695C">
            <w:pPr>
              <w:pStyle w:val="DHHStabletext9pt"/>
            </w:pPr>
            <w:r w:rsidRPr="00607609">
              <w:t xml:space="preserve">Physical environment </w:t>
            </w:r>
          </w:p>
        </w:tc>
        <w:tc>
          <w:tcPr>
            <w:tcW w:w="1657" w:type="pct"/>
            <w:shd w:val="clear" w:color="auto" w:fill="auto"/>
            <w:hideMark/>
          </w:tcPr>
          <w:p w14:paraId="28031958" w14:textId="77777777" w:rsidR="00607609" w:rsidRDefault="00931F10" w:rsidP="00C5695C">
            <w:pPr>
              <w:pStyle w:val="DHHStabletext9pt"/>
            </w:pPr>
            <w:r w:rsidRPr="00607609">
              <w:t xml:space="preserve">* SRS’ privately owned and operated </w:t>
            </w:r>
          </w:p>
          <w:p w14:paraId="4F3F9AFE" w14:textId="77777777" w:rsidR="00607609" w:rsidRDefault="00931F10" w:rsidP="00C5695C">
            <w:pPr>
              <w:pStyle w:val="DHHStabletext9pt"/>
            </w:pPr>
            <w:r w:rsidRPr="00607609">
              <w:t xml:space="preserve">* Some SRS’ and Disability Residential Settings have shared bedrooms and bathrooms, and all have shared dining and lounge areas. </w:t>
            </w:r>
          </w:p>
          <w:p w14:paraId="4E0D8419" w14:textId="26741B14" w:rsidR="00931F10" w:rsidRPr="00607609" w:rsidRDefault="00931F10" w:rsidP="00C5695C">
            <w:pPr>
              <w:pStyle w:val="DHHStabletext9pt"/>
            </w:pPr>
            <w:r w:rsidRPr="00607609">
              <w:t>* Some SRS and Disability Residential Settings will have individual bedrooms with ensuites</w:t>
            </w:r>
          </w:p>
        </w:tc>
        <w:tc>
          <w:tcPr>
            <w:tcW w:w="2376" w:type="pct"/>
            <w:tcBorders>
              <w:bottom w:val="single" w:sz="4" w:space="0" w:color="FFFFFF" w:themeColor="background1"/>
            </w:tcBorders>
            <w:shd w:val="clear" w:color="auto" w:fill="auto"/>
            <w:hideMark/>
          </w:tcPr>
          <w:p w14:paraId="3D3CFE19" w14:textId="77777777" w:rsidR="00607609" w:rsidRDefault="00931F10" w:rsidP="00C5695C">
            <w:pPr>
              <w:pStyle w:val="DHHStabletext9pt"/>
            </w:pPr>
            <w:r w:rsidRPr="00607609">
              <w:t>Settings are staffed and therefore information about who is living at the facility can be quickly obtained. Staff are enablers for the sustainability of IPC measures within the facility.</w:t>
            </w:r>
          </w:p>
          <w:p w14:paraId="39BA6607" w14:textId="77777777" w:rsidR="00607609" w:rsidRDefault="00931F10" w:rsidP="00C5695C">
            <w:pPr>
              <w:pStyle w:val="DHHStabletext9pt"/>
            </w:pPr>
            <w:r w:rsidRPr="00607609">
              <w:t xml:space="preserve">In the event of an outbreak, SRS and disability staff can quickly provide necessary information about residents and their health and support needs. </w:t>
            </w:r>
          </w:p>
          <w:p w14:paraId="779184D3" w14:textId="56EC13A4" w:rsidR="00931F10" w:rsidRPr="00607609" w:rsidRDefault="00931F10" w:rsidP="00C5695C">
            <w:pPr>
              <w:pStyle w:val="DHHStabletext9pt"/>
            </w:pPr>
            <w:r w:rsidRPr="00607609">
              <w:t>Staff can also support residents to comply with testing requests and public health directions and be a conduit for information flow between residents and the outbreak response team.</w:t>
            </w:r>
          </w:p>
        </w:tc>
      </w:tr>
      <w:tr w:rsidR="00C5695C" w:rsidRPr="0069085F" w14:paraId="3B8D22E2" w14:textId="77777777" w:rsidTr="00C5695C">
        <w:trPr>
          <w:trHeight w:val="885"/>
        </w:trPr>
        <w:tc>
          <w:tcPr>
            <w:tcW w:w="507" w:type="pct"/>
            <w:tcBorders>
              <w:top w:val="single" w:sz="4" w:space="0" w:color="FFFFFF" w:themeColor="background1"/>
              <w:bottom w:val="single" w:sz="4" w:space="0" w:color="808080" w:themeColor="background1" w:themeShade="80"/>
            </w:tcBorders>
            <w:shd w:val="clear" w:color="auto" w:fill="auto"/>
            <w:hideMark/>
          </w:tcPr>
          <w:p w14:paraId="6685C220" w14:textId="77777777" w:rsidR="00931F10" w:rsidRPr="00C5695C" w:rsidRDefault="00931F10" w:rsidP="00C5695C">
            <w:pPr>
              <w:pStyle w:val="DHHStabletext9pt"/>
              <w:rPr>
                <w:rStyle w:val="Strong"/>
              </w:rPr>
            </w:pPr>
          </w:p>
        </w:tc>
        <w:tc>
          <w:tcPr>
            <w:tcW w:w="460" w:type="pct"/>
            <w:shd w:val="clear" w:color="auto" w:fill="auto"/>
            <w:hideMark/>
          </w:tcPr>
          <w:p w14:paraId="3475460E" w14:textId="77777777" w:rsidR="00931F10" w:rsidRPr="00607609" w:rsidRDefault="00931F10" w:rsidP="00C5695C">
            <w:pPr>
              <w:pStyle w:val="DHHStabletext9pt"/>
            </w:pPr>
            <w:r w:rsidRPr="00607609">
              <w:t>Residents and staffing</w:t>
            </w:r>
          </w:p>
        </w:tc>
        <w:tc>
          <w:tcPr>
            <w:tcW w:w="1657" w:type="pct"/>
            <w:shd w:val="clear" w:color="auto" w:fill="auto"/>
            <w:hideMark/>
          </w:tcPr>
          <w:p w14:paraId="2ED6C8A5" w14:textId="77777777" w:rsidR="00607609" w:rsidRDefault="00931F10" w:rsidP="00C5695C">
            <w:pPr>
              <w:pStyle w:val="DHHStabletext9pt"/>
            </w:pPr>
            <w:r w:rsidRPr="00607609">
              <w:t>* Low staffing levels in SRS’, 24 hours a day</w:t>
            </w:r>
          </w:p>
          <w:p w14:paraId="587807DA" w14:textId="21ED0EB5" w:rsidR="00607609" w:rsidRDefault="00931F10" w:rsidP="00C5695C">
            <w:pPr>
              <w:pStyle w:val="DHHStabletext9pt"/>
            </w:pPr>
            <w:r w:rsidRPr="00607609">
              <w:t xml:space="preserve">* Staffing levels in disability homes determined under an NDIS SIL Plan according to resident need (usually staffed </w:t>
            </w:r>
            <w:r w:rsidR="00C5695C">
              <w:br/>
            </w:r>
            <w:r w:rsidRPr="00607609">
              <w:t>24 hrs)</w:t>
            </w:r>
          </w:p>
          <w:p w14:paraId="186598D1" w14:textId="77777777" w:rsidR="00607609" w:rsidRDefault="00931F10" w:rsidP="00C5695C">
            <w:pPr>
              <w:pStyle w:val="DHHStabletext9pt"/>
            </w:pPr>
            <w:r w:rsidRPr="00607609">
              <w:t xml:space="preserve">*Both SRS and Disability Homes maintain support plans which record support needs. </w:t>
            </w:r>
          </w:p>
          <w:p w14:paraId="22752200" w14:textId="0B856AF9" w:rsidR="00931F10" w:rsidRPr="00607609" w:rsidRDefault="00931F10" w:rsidP="00C5695C">
            <w:pPr>
              <w:pStyle w:val="DHHStabletext9pt"/>
            </w:pPr>
            <w:r w:rsidRPr="00607609">
              <w:t>* Low-medium resident turnover</w:t>
            </w:r>
          </w:p>
        </w:tc>
        <w:tc>
          <w:tcPr>
            <w:tcW w:w="2376" w:type="pct"/>
            <w:tcBorders>
              <w:top w:val="single" w:sz="4" w:space="0" w:color="FFFFFF" w:themeColor="background1"/>
            </w:tcBorders>
            <w:shd w:val="clear" w:color="auto" w:fill="auto"/>
            <w:hideMark/>
          </w:tcPr>
          <w:p w14:paraId="02A6295A" w14:textId="77777777" w:rsidR="00931F10" w:rsidRPr="0069085F" w:rsidRDefault="00931F10" w:rsidP="00C5695C">
            <w:pPr>
              <w:pStyle w:val="DHHStabletext9pt"/>
              <w:rPr>
                <w:rFonts w:ascii="Calibri" w:hAnsi="Calibri" w:cs="Calibri"/>
                <w:color w:val="000000"/>
              </w:rPr>
            </w:pPr>
          </w:p>
        </w:tc>
      </w:tr>
      <w:tr w:rsidR="00C5695C" w:rsidRPr="0069085F" w14:paraId="7289932B" w14:textId="77777777" w:rsidTr="00C5695C">
        <w:trPr>
          <w:trHeight w:val="885"/>
        </w:trPr>
        <w:tc>
          <w:tcPr>
            <w:tcW w:w="507" w:type="pct"/>
            <w:tcBorders>
              <w:top w:val="single" w:sz="4" w:space="0" w:color="808080" w:themeColor="background1" w:themeShade="80"/>
              <w:bottom w:val="single" w:sz="4" w:space="0" w:color="FFFFFF" w:themeColor="background1"/>
            </w:tcBorders>
            <w:shd w:val="clear" w:color="auto" w:fill="auto"/>
          </w:tcPr>
          <w:p w14:paraId="0B24F361" w14:textId="4716B87D" w:rsidR="00C5695C" w:rsidRPr="00C5695C" w:rsidRDefault="00C5695C" w:rsidP="00C5695C">
            <w:pPr>
              <w:pStyle w:val="DHHStabletext9pt"/>
              <w:rPr>
                <w:rStyle w:val="Strong"/>
              </w:rPr>
            </w:pPr>
            <w:r w:rsidRPr="00C5695C">
              <w:rPr>
                <w:rStyle w:val="Strong"/>
              </w:rPr>
              <w:t>Caravan parks</w:t>
            </w:r>
          </w:p>
        </w:tc>
        <w:tc>
          <w:tcPr>
            <w:tcW w:w="460" w:type="pct"/>
            <w:shd w:val="clear" w:color="auto" w:fill="auto"/>
          </w:tcPr>
          <w:p w14:paraId="23998E6E" w14:textId="504EAFA4" w:rsidR="00C5695C" w:rsidRPr="00607609" w:rsidRDefault="00C5695C" w:rsidP="00C5695C">
            <w:pPr>
              <w:pStyle w:val="DHHStabletext9pt"/>
            </w:pPr>
            <w:r w:rsidRPr="0069085F">
              <w:t>Physical environment</w:t>
            </w:r>
          </w:p>
        </w:tc>
        <w:tc>
          <w:tcPr>
            <w:tcW w:w="1657" w:type="pct"/>
            <w:shd w:val="clear" w:color="auto" w:fill="auto"/>
          </w:tcPr>
          <w:p w14:paraId="54F9E2A8" w14:textId="3F31C920" w:rsidR="00C5695C" w:rsidRPr="00607609" w:rsidRDefault="00C5695C" w:rsidP="00C5695C">
            <w:pPr>
              <w:pStyle w:val="DHHStabletext9pt"/>
            </w:pPr>
            <w:r w:rsidRPr="0069085F">
              <w:t>* Some caravans or movable dwellings will be fully self-contained although many long stay residents will live with basic amenity and some shared areas.</w:t>
            </w:r>
          </w:p>
        </w:tc>
        <w:tc>
          <w:tcPr>
            <w:tcW w:w="2376" w:type="pct"/>
            <w:tcBorders>
              <w:bottom w:val="single" w:sz="4" w:space="0" w:color="FFFFFF" w:themeColor="background1"/>
            </w:tcBorders>
            <w:shd w:val="clear" w:color="auto" w:fill="auto"/>
          </w:tcPr>
          <w:p w14:paraId="081D8F05" w14:textId="77777777" w:rsidR="00C5695C" w:rsidRDefault="00C5695C" w:rsidP="00C5695C">
            <w:pPr>
              <w:pStyle w:val="DHHStabletext9pt"/>
            </w:pPr>
            <w:r w:rsidRPr="0069085F">
              <w:t>Including caravan parks, backpacker accommodation and private hostels.</w:t>
            </w:r>
          </w:p>
          <w:p w14:paraId="7104664A" w14:textId="77777777" w:rsidR="00C5695C" w:rsidRDefault="00C5695C" w:rsidP="00C5695C">
            <w:pPr>
              <w:pStyle w:val="DHHStabletext9pt"/>
            </w:pPr>
            <w:r w:rsidRPr="0069085F">
              <w:t xml:space="preserve">Settings do not have support staff who might be able to assist in communicating with residents. </w:t>
            </w:r>
          </w:p>
          <w:p w14:paraId="117938ED" w14:textId="50D51CEB" w:rsidR="00C5695C" w:rsidRPr="0069085F" w:rsidRDefault="00C5695C" w:rsidP="00C5695C">
            <w:pPr>
              <w:pStyle w:val="DHHStabletext9pt"/>
              <w:rPr>
                <w:rFonts w:ascii="Calibri" w:hAnsi="Calibri" w:cs="Calibri"/>
                <w:color w:val="000000"/>
              </w:rPr>
            </w:pPr>
            <w:r w:rsidRPr="0069085F">
              <w:t>Information about residents’ needs are unknown.</w:t>
            </w:r>
          </w:p>
        </w:tc>
      </w:tr>
      <w:tr w:rsidR="00C5695C" w:rsidRPr="0069085F" w14:paraId="2B8257D3" w14:textId="77777777" w:rsidTr="00C5695C">
        <w:trPr>
          <w:trHeight w:val="885"/>
        </w:trPr>
        <w:tc>
          <w:tcPr>
            <w:tcW w:w="507" w:type="pct"/>
            <w:tcBorders>
              <w:top w:val="single" w:sz="4" w:space="0" w:color="FFFFFF" w:themeColor="background1"/>
              <w:bottom w:val="single" w:sz="4" w:space="0" w:color="808080" w:themeColor="background1" w:themeShade="80"/>
            </w:tcBorders>
            <w:shd w:val="clear" w:color="auto" w:fill="auto"/>
          </w:tcPr>
          <w:p w14:paraId="6EDABFBF" w14:textId="77777777" w:rsidR="00C5695C" w:rsidRPr="00C5695C" w:rsidRDefault="00C5695C" w:rsidP="00C5695C">
            <w:pPr>
              <w:pStyle w:val="DHHStabletext9pt"/>
              <w:rPr>
                <w:rStyle w:val="Strong"/>
              </w:rPr>
            </w:pPr>
          </w:p>
        </w:tc>
        <w:tc>
          <w:tcPr>
            <w:tcW w:w="460" w:type="pct"/>
            <w:shd w:val="clear" w:color="auto" w:fill="auto"/>
          </w:tcPr>
          <w:p w14:paraId="58FB0788" w14:textId="4F846C5D" w:rsidR="00C5695C" w:rsidRPr="00607609" w:rsidRDefault="00C5695C" w:rsidP="00C5695C">
            <w:pPr>
              <w:pStyle w:val="DHHStabletext9pt"/>
            </w:pPr>
            <w:r w:rsidRPr="0069085F">
              <w:t>Residents and staffing</w:t>
            </w:r>
          </w:p>
        </w:tc>
        <w:tc>
          <w:tcPr>
            <w:tcW w:w="1657" w:type="pct"/>
            <w:shd w:val="clear" w:color="auto" w:fill="auto"/>
          </w:tcPr>
          <w:p w14:paraId="4A849456" w14:textId="77777777" w:rsidR="00C5695C" w:rsidRDefault="00C5695C" w:rsidP="00C5695C">
            <w:pPr>
              <w:pStyle w:val="DHHStabletext9pt"/>
            </w:pPr>
            <w:r w:rsidRPr="0069085F">
              <w:t>* Staff to manage and operate the park are on site</w:t>
            </w:r>
          </w:p>
          <w:p w14:paraId="315CE411" w14:textId="5B3B80B5" w:rsidR="00C5695C" w:rsidRPr="00607609" w:rsidRDefault="00C5695C" w:rsidP="00C5695C">
            <w:pPr>
              <w:pStyle w:val="DHHStabletext9pt"/>
            </w:pPr>
            <w:r w:rsidRPr="0069085F">
              <w:t>* Information about residents’ support needs is not quickly available</w:t>
            </w:r>
          </w:p>
        </w:tc>
        <w:tc>
          <w:tcPr>
            <w:tcW w:w="2376" w:type="pct"/>
            <w:tcBorders>
              <w:top w:val="single" w:sz="4" w:space="0" w:color="FFFFFF" w:themeColor="background1"/>
            </w:tcBorders>
            <w:shd w:val="clear" w:color="auto" w:fill="auto"/>
          </w:tcPr>
          <w:p w14:paraId="53A63D16" w14:textId="77777777" w:rsidR="00C5695C" w:rsidRPr="0069085F" w:rsidRDefault="00C5695C" w:rsidP="00C5695C">
            <w:pPr>
              <w:pStyle w:val="DHHStabletext9pt"/>
              <w:rPr>
                <w:rFonts w:ascii="Calibri" w:hAnsi="Calibri" w:cs="Calibri"/>
                <w:color w:val="000000"/>
              </w:rPr>
            </w:pPr>
          </w:p>
        </w:tc>
      </w:tr>
      <w:tr w:rsidR="00C5695C" w:rsidRPr="0069085F" w14:paraId="6ECC3C31" w14:textId="77777777" w:rsidTr="00C5695C">
        <w:trPr>
          <w:trHeight w:val="885"/>
        </w:trPr>
        <w:tc>
          <w:tcPr>
            <w:tcW w:w="507" w:type="pct"/>
            <w:tcBorders>
              <w:top w:val="single" w:sz="4" w:space="0" w:color="808080" w:themeColor="background1" w:themeShade="80"/>
              <w:bottom w:val="single" w:sz="4" w:space="0" w:color="FFFFFF" w:themeColor="background1"/>
            </w:tcBorders>
            <w:shd w:val="clear" w:color="auto" w:fill="auto"/>
          </w:tcPr>
          <w:p w14:paraId="3E96A44F" w14:textId="17AF55D2" w:rsidR="00C5695C" w:rsidRPr="00C5695C" w:rsidRDefault="00C5695C" w:rsidP="00C5695C">
            <w:pPr>
              <w:pStyle w:val="DHHStabletext9pt"/>
              <w:rPr>
                <w:rStyle w:val="Strong"/>
              </w:rPr>
            </w:pPr>
            <w:r w:rsidRPr="00C5695C">
              <w:rPr>
                <w:rStyle w:val="Strong"/>
              </w:rPr>
              <w:lastRenderedPageBreak/>
              <w:t>Backpacker hostels</w:t>
            </w:r>
          </w:p>
        </w:tc>
        <w:tc>
          <w:tcPr>
            <w:tcW w:w="460" w:type="pct"/>
            <w:shd w:val="clear" w:color="auto" w:fill="auto"/>
          </w:tcPr>
          <w:p w14:paraId="342A3C5F" w14:textId="3E55E464" w:rsidR="00C5695C" w:rsidRPr="0069085F" w:rsidRDefault="00C5695C" w:rsidP="00C5695C">
            <w:pPr>
              <w:pStyle w:val="DHHStabletext9pt"/>
            </w:pPr>
            <w:r w:rsidRPr="0069085F">
              <w:t>Physical environment</w:t>
            </w:r>
          </w:p>
        </w:tc>
        <w:tc>
          <w:tcPr>
            <w:tcW w:w="1657" w:type="pct"/>
            <w:shd w:val="clear" w:color="auto" w:fill="auto"/>
          </w:tcPr>
          <w:p w14:paraId="535AE1E6" w14:textId="04E30527" w:rsidR="00C5695C" w:rsidRPr="0069085F" w:rsidRDefault="00C5695C" w:rsidP="00C5695C">
            <w:pPr>
              <w:pStyle w:val="DHHStabletext9pt"/>
            </w:pPr>
            <w:r w:rsidRPr="0069085F">
              <w:t>* Mostly shared bedrooms, bathrooms and all other facilities</w:t>
            </w:r>
          </w:p>
        </w:tc>
        <w:tc>
          <w:tcPr>
            <w:tcW w:w="2376" w:type="pct"/>
            <w:tcBorders>
              <w:bottom w:val="single" w:sz="4" w:space="0" w:color="FFFFFF" w:themeColor="background1"/>
            </w:tcBorders>
            <w:shd w:val="clear" w:color="auto" w:fill="auto"/>
          </w:tcPr>
          <w:p w14:paraId="60992924" w14:textId="77777777" w:rsidR="00C5695C" w:rsidRPr="0069085F" w:rsidRDefault="00C5695C" w:rsidP="00C5695C">
            <w:pPr>
              <w:pStyle w:val="DHHStabletext9pt"/>
              <w:rPr>
                <w:rFonts w:ascii="Calibri" w:hAnsi="Calibri" w:cs="Calibri"/>
                <w:color w:val="000000"/>
              </w:rPr>
            </w:pPr>
          </w:p>
        </w:tc>
      </w:tr>
      <w:tr w:rsidR="00C5695C" w:rsidRPr="0069085F" w14:paraId="5B317042" w14:textId="77777777" w:rsidTr="00C5695C">
        <w:trPr>
          <w:trHeight w:val="885"/>
        </w:trPr>
        <w:tc>
          <w:tcPr>
            <w:tcW w:w="507" w:type="pct"/>
            <w:tcBorders>
              <w:top w:val="single" w:sz="4" w:space="0" w:color="FFFFFF" w:themeColor="background1"/>
            </w:tcBorders>
            <w:shd w:val="clear" w:color="auto" w:fill="auto"/>
          </w:tcPr>
          <w:p w14:paraId="177ED766" w14:textId="77777777" w:rsidR="00C5695C" w:rsidRPr="00C5695C" w:rsidRDefault="00C5695C" w:rsidP="00C5695C">
            <w:pPr>
              <w:pStyle w:val="DHHStabletext9pt"/>
              <w:rPr>
                <w:rStyle w:val="Strong"/>
              </w:rPr>
            </w:pPr>
          </w:p>
        </w:tc>
        <w:tc>
          <w:tcPr>
            <w:tcW w:w="460" w:type="pct"/>
            <w:shd w:val="clear" w:color="auto" w:fill="auto"/>
          </w:tcPr>
          <w:p w14:paraId="781A2EE8" w14:textId="11A85D43" w:rsidR="00C5695C" w:rsidRPr="0069085F" w:rsidRDefault="00C5695C" w:rsidP="00C5695C">
            <w:pPr>
              <w:pStyle w:val="DHHStabletext9pt"/>
            </w:pPr>
            <w:r w:rsidRPr="0069085F">
              <w:t>Residents and staffing</w:t>
            </w:r>
          </w:p>
        </w:tc>
        <w:tc>
          <w:tcPr>
            <w:tcW w:w="1657" w:type="pct"/>
            <w:shd w:val="clear" w:color="auto" w:fill="auto"/>
          </w:tcPr>
          <w:p w14:paraId="6CC058E9" w14:textId="77777777" w:rsidR="00C5695C" w:rsidRDefault="00C5695C" w:rsidP="00C5695C">
            <w:pPr>
              <w:pStyle w:val="DHHStabletext9pt"/>
            </w:pPr>
            <w:r w:rsidRPr="0069085F">
              <w:t xml:space="preserve">* Operational staff but not support staff </w:t>
            </w:r>
          </w:p>
          <w:p w14:paraId="1F8665BB" w14:textId="2A1FC4BA" w:rsidR="00C5695C" w:rsidRPr="0069085F" w:rsidRDefault="00C5695C" w:rsidP="00C5695C">
            <w:pPr>
              <w:pStyle w:val="DHHStabletext9pt"/>
            </w:pPr>
            <w:r w:rsidRPr="0069085F">
              <w:t>* Information about residents’ support needs is not quickly available</w:t>
            </w:r>
          </w:p>
        </w:tc>
        <w:tc>
          <w:tcPr>
            <w:tcW w:w="2376" w:type="pct"/>
            <w:tcBorders>
              <w:top w:val="single" w:sz="4" w:space="0" w:color="FFFFFF" w:themeColor="background1"/>
            </w:tcBorders>
            <w:shd w:val="clear" w:color="auto" w:fill="auto"/>
          </w:tcPr>
          <w:p w14:paraId="01F97CB2" w14:textId="77777777" w:rsidR="00C5695C" w:rsidRPr="0069085F" w:rsidRDefault="00C5695C" w:rsidP="00C5695C">
            <w:pPr>
              <w:pStyle w:val="DHHStabletext9pt"/>
              <w:rPr>
                <w:rFonts w:ascii="Calibri" w:hAnsi="Calibri" w:cs="Calibri"/>
                <w:color w:val="000000"/>
              </w:rPr>
            </w:pPr>
          </w:p>
        </w:tc>
      </w:tr>
    </w:tbl>
    <w:p w14:paraId="12B948FE" w14:textId="77777777" w:rsidR="00931F10" w:rsidRDefault="00931F10" w:rsidP="00931F10">
      <w:pPr>
        <w:pStyle w:val="Heading2"/>
      </w:pPr>
      <w:r>
        <w:br w:type="page"/>
      </w:r>
    </w:p>
    <w:p w14:paraId="3DDA17A5" w14:textId="7007B79B" w:rsidR="00931F10" w:rsidRPr="00B66D01" w:rsidRDefault="00931F10" w:rsidP="00C83E0B">
      <w:pPr>
        <w:pStyle w:val="Heading2"/>
      </w:pPr>
      <w:bookmarkStart w:id="95" w:name="_Toc93219806"/>
      <w:bookmarkStart w:id="96" w:name="_Toc93905419"/>
      <w:r>
        <w:lastRenderedPageBreak/>
        <w:t>Appendix 6: Service Mapping</w:t>
      </w:r>
      <w:bookmarkEnd w:id="95"/>
      <w:bookmarkEnd w:id="96"/>
    </w:p>
    <w:tbl>
      <w:tblPr>
        <w:tblW w:w="505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68" w:type="dxa"/>
          <w:bottom w:w="57" w:type="dxa"/>
          <w:right w:w="68" w:type="dxa"/>
        </w:tblCellMar>
        <w:tblLook w:val="04A0" w:firstRow="1" w:lastRow="0" w:firstColumn="1" w:lastColumn="0" w:noHBand="0" w:noVBand="1"/>
        <w:tblCaption w:val="Service Mapping"/>
        <w:tblDescription w:val="LGA; Suburbs; DFFH Area, DFFH Division, HRAR Catchment; Lead Provider, LPHU, Health Cluster; DLO based in region"/>
      </w:tblPr>
      <w:tblGrid>
        <w:gridCol w:w="1203"/>
        <w:gridCol w:w="6942"/>
        <w:gridCol w:w="1031"/>
        <w:gridCol w:w="1009"/>
        <w:gridCol w:w="1084"/>
        <w:gridCol w:w="1037"/>
        <w:gridCol w:w="946"/>
        <w:gridCol w:w="1288"/>
        <w:gridCol w:w="1172"/>
      </w:tblGrid>
      <w:tr w:rsidR="00C83E0B" w:rsidRPr="003A1EF9" w14:paraId="21119975" w14:textId="77777777" w:rsidTr="00856F51">
        <w:trPr>
          <w:trHeight w:val="832"/>
          <w:tblHeader/>
        </w:trPr>
        <w:tc>
          <w:tcPr>
            <w:tcW w:w="383" w:type="pct"/>
            <w:shd w:val="clear" w:color="auto" w:fill="auto"/>
            <w:vAlign w:val="bottom"/>
            <w:hideMark/>
          </w:tcPr>
          <w:p w14:paraId="72C9D899" w14:textId="77777777" w:rsidR="00931F10" w:rsidRPr="00C83E0B" w:rsidRDefault="00931F10" w:rsidP="005325AE">
            <w:pPr>
              <w:pStyle w:val="DHHStablecolhead"/>
            </w:pPr>
            <w:bookmarkStart w:id="97" w:name="Sheet1!B1:I94"/>
            <w:r w:rsidRPr="00C83E0B">
              <w:t>LGA</w:t>
            </w:r>
            <w:bookmarkEnd w:id="97"/>
          </w:p>
        </w:tc>
        <w:tc>
          <w:tcPr>
            <w:tcW w:w="2209" w:type="pct"/>
            <w:shd w:val="clear" w:color="auto" w:fill="auto"/>
            <w:vAlign w:val="bottom"/>
            <w:hideMark/>
          </w:tcPr>
          <w:p w14:paraId="4487669C" w14:textId="77777777" w:rsidR="00931F10" w:rsidRPr="00C83E0B" w:rsidRDefault="00931F10" w:rsidP="005325AE">
            <w:pPr>
              <w:pStyle w:val="DHHStablecolhead"/>
            </w:pPr>
            <w:r w:rsidRPr="00C83E0B">
              <w:t xml:space="preserve">Suburbs </w:t>
            </w:r>
          </w:p>
        </w:tc>
        <w:tc>
          <w:tcPr>
            <w:tcW w:w="328" w:type="pct"/>
            <w:shd w:val="clear" w:color="auto" w:fill="auto"/>
            <w:vAlign w:val="bottom"/>
            <w:hideMark/>
          </w:tcPr>
          <w:p w14:paraId="1978406C" w14:textId="77777777" w:rsidR="00931F10" w:rsidRPr="00C83E0B" w:rsidRDefault="00931F10" w:rsidP="005325AE">
            <w:pPr>
              <w:pStyle w:val="DHHStablecolhead"/>
            </w:pPr>
            <w:r w:rsidRPr="00C83E0B">
              <w:t>DFFH Area</w:t>
            </w:r>
          </w:p>
        </w:tc>
        <w:tc>
          <w:tcPr>
            <w:tcW w:w="321" w:type="pct"/>
            <w:shd w:val="clear" w:color="auto" w:fill="auto"/>
            <w:vAlign w:val="bottom"/>
            <w:hideMark/>
          </w:tcPr>
          <w:p w14:paraId="354C293B" w14:textId="77777777" w:rsidR="00931F10" w:rsidRPr="00C83E0B" w:rsidRDefault="00931F10" w:rsidP="005325AE">
            <w:pPr>
              <w:pStyle w:val="DHHStablecolhead"/>
            </w:pPr>
            <w:r w:rsidRPr="00C83E0B">
              <w:t>DFFH Division</w:t>
            </w:r>
          </w:p>
        </w:tc>
        <w:tc>
          <w:tcPr>
            <w:tcW w:w="345" w:type="pct"/>
            <w:shd w:val="clear" w:color="auto" w:fill="auto"/>
            <w:vAlign w:val="bottom"/>
            <w:hideMark/>
          </w:tcPr>
          <w:p w14:paraId="45D6868A" w14:textId="77777777" w:rsidR="00931F10" w:rsidRPr="00C83E0B" w:rsidRDefault="00931F10" w:rsidP="005325AE">
            <w:pPr>
              <w:pStyle w:val="DHHStablecolhead"/>
            </w:pPr>
            <w:r w:rsidRPr="00C83E0B">
              <w:t>HRAR Catchment</w:t>
            </w:r>
          </w:p>
        </w:tc>
        <w:tc>
          <w:tcPr>
            <w:tcW w:w="330" w:type="pct"/>
            <w:shd w:val="clear" w:color="auto" w:fill="auto"/>
            <w:vAlign w:val="bottom"/>
            <w:hideMark/>
          </w:tcPr>
          <w:p w14:paraId="51F42842" w14:textId="77777777" w:rsidR="00931F10" w:rsidRPr="00C83E0B" w:rsidRDefault="00931F10" w:rsidP="005325AE">
            <w:pPr>
              <w:pStyle w:val="DHHStablecolhead"/>
            </w:pPr>
            <w:r w:rsidRPr="00C83E0B">
              <w:t xml:space="preserve">Lead Provider </w:t>
            </w:r>
          </w:p>
        </w:tc>
        <w:tc>
          <w:tcPr>
            <w:tcW w:w="301" w:type="pct"/>
            <w:shd w:val="clear" w:color="auto" w:fill="auto"/>
            <w:vAlign w:val="bottom"/>
            <w:hideMark/>
          </w:tcPr>
          <w:p w14:paraId="1EB95ACC" w14:textId="77777777" w:rsidR="00931F10" w:rsidRPr="00C83E0B" w:rsidRDefault="00931F10" w:rsidP="005325AE">
            <w:pPr>
              <w:pStyle w:val="DHHStablecolhead"/>
            </w:pPr>
            <w:r w:rsidRPr="00C83E0B">
              <w:t>LPHU</w:t>
            </w:r>
          </w:p>
        </w:tc>
        <w:tc>
          <w:tcPr>
            <w:tcW w:w="410" w:type="pct"/>
            <w:shd w:val="clear" w:color="auto" w:fill="auto"/>
            <w:vAlign w:val="bottom"/>
            <w:hideMark/>
          </w:tcPr>
          <w:p w14:paraId="47DD1063" w14:textId="77777777" w:rsidR="00931F10" w:rsidRPr="00C83E0B" w:rsidRDefault="00931F10" w:rsidP="005325AE">
            <w:pPr>
              <w:pStyle w:val="DHHStablecolhead"/>
            </w:pPr>
            <w:r w:rsidRPr="00C83E0B">
              <w:t>Health Cluster</w:t>
            </w:r>
          </w:p>
        </w:tc>
        <w:tc>
          <w:tcPr>
            <w:tcW w:w="373" w:type="pct"/>
            <w:shd w:val="clear" w:color="auto" w:fill="auto"/>
            <w:vAlign w:val="bottom"/>
            <w:hideMark/>
          </w:tcPr>
          <w:p w14:paraId="06CA7C5C" w14:textId="77777777" w:rsidR="00931F10" w:rsidRPr="00C83E0B" w:rsidRDefault="00931F10" w:rsidP="005325AE">
            <w:pPr>
              <w:pStyle w:val="DHHStablecolhead"/>
            </w:pPr>
            <w:r w:rsidRPr="00C83E0B">
              <w:t>DLO based in region</w:t>
            </w:r>
          </w:p>
        </w:tc>
      </w:tr>
      <w:tr w:rsidR="00C83E0B" w:rsidRPr="003A1EF9" w14:paraId="1BAA999B" w14:textId="77777777" w:rsidTr="00856F51">
        <w:trPr>
          <w:trHeight w:val="1294"/>
        </w:trPr>
        <w:tc>
          <w:tcPr>
            <w:tcW w:w="383" w:type="pct"/>
            <w:hideMark/>
          </w:tcPr>
          <w:p w14:paraId="3B38F4A5" w14:textId="77777777" w:rsidR="00931F10" w:rsidRPr="00D77DA8" w:rsidRDefault="00931F10" w:rsidP="00C83E0B">
            <w:pPr>
              <w:pStyle w:val="DHHStabletext9pt"/>
            </w:pPr>
            <w:r w:rsidRPr="00D77DA8">
              <w:t>Alpine Shire</w:t>
            </w:r>
          </w:p>
        </w:tc>
        <w:tc>
          <w:tcPr>
            <w:tcW w:w="2209" w:type="pct"/>
            <w:hideMark/>
          </w:tcPr>
          <w:p w14:paraId="130E414D" w14:textId="77777777" w:rsidR="00931F10" w:rsidRPr="00D77DA8" w:rsidRDefault="00931F10" w:rsidP="00C83E0B">
            <w:pPr>
              <w:pStyle w:val="DHHStabletext9pt"/>
              <w:rPr>
                <w:color w:val="000000"/>
              </w:rPr>
            </w:pPr>
            <w:r w:rsidRPr="00D77DA8">
              <w:rPr>
                <w:color w:val="000000"/>
              </w:rPr>
              <w:t>Abbeyard, Barwidgee, Bogong, Bright, Buckland, Buffalo Creek, Buffalo River, Cobungra, Coral Bank, Dandongadale, Dargo, Dederang, Dinner Plain, Eurobin, Falls Creek, Freeburgh, Gapsted, Germantown, Glen Creek, Gundowring, Harrietville, Havilah, Hotham Heights, Kancoona, Kergunyah South, Merriang, Mongans Bridge, Mount Beauty, Mount Buffalo, Mount Hotham, Mudgeegonga, Myrtleford, Nug, Ovens, Porepunkah, Rosewhite, Running Creek, Selwyn, Smoko, Tawonga, Tawonga South, Upper Gundowring, Wandiligong, Wongungarra And Wonnangatta.</w:t>
            </w:r>
          </w:p>
        </w:tc>
        <w:tc>
          <w:tcPr>
            <w:tcW w:w="328" w:type="pct"/>
            <w:hideMark/>
          </w:tcPr>
          <w:p w14:paraId="24EBD4E8" w14:textId="77777777" w:rsidR="00931F10" w:rsidRPr="00D77DA8" w:rsidRDefault="00931F10" w:rsidP="00C83E0B">
            <w:pPr>
              <w:pStyle w:val="DHHStabletext9pt"/>
              <w:rPr>
                <w:color w:val="000000"/>
              </w:rPr>
            </w:pPr>
            <w:r w:rsidRPr="00D77DA8">
              <w:rPr>
                <w:color w:val="000000"/>
              </w:rPr>
              <w:t>Ovens Murray</w:t>
            </w:r>
          </w:p>
        </w:tc>
        <w:tc>
          <w:tcPr>
            <w:tcW w:w="321" w:type="pct"/>
            <w:hideMark/>
          </w:tcPr>
          <w:p w14:paraId="06538906"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4DBC5C42" w14:textId="77777777" w:rsidR="00931F10" w:rsidRPr="00D77DA8" w:rsidRDefault="00931F10" w:rsidP="00C83E0B">
            <w:pPr>
              <w:pStyle w:val="DHHStabletext9pt"/>
              <w:rPr>
                <w:color w:val="000000"/>
              </w:rPr>
            </w:pPr>
            <w:r w:rsidRPr="00D77DA8">
              <w:rPr>
                <w:color w:val="000000"/>
              </w:rPr>
              <w:t>Ovens Murray</w:t>
            </w:r>
          </w:p>
        </w:tc>
        <w:tc>
          <w:tcPr>
            <w:tcW w:w="330" w:type="pct"/>
            <w:hideMark/>
          </w:tcPr>
          <w:p w14:paraId="4E2C28D7" w14:textId="77777777" w:rsidR="00931F10" w:rsidRPr="00D77DA8" w:rsidRDefault="00931F10" w:rsidP="00C83E0B">
            <w:pPr>
              <w:pStyle w:val="DHHStabletext9pt"/>
              <w:rPr>
                <w:color w:val="000000"/>
              </w:rPr>
            </w:pPr>
            <w:r w:rsidRPr="00D77DA8">
              <w:rPr>
                <w:color w:val="000000"/>
              </w:rPr>
              <w:t>Gateway Health</w:t>
            </w:r>
          </w:p>
        </w:tc>
        <w:tc>
          <w:tcPr>
            <w:tcW w:w="301" w:type="pct"/>
            <w:hideMark/>
          </w:tcPr>
          <w:p w14:paraId="0F27AA48" w14:textId="77777777" w:rsidR="00931F10" w:rsidRPr="00D77DA8" w:rsidRDefault="00931F10" w:rsidP="00C83E0B">
            <w:pPr>
              <w:pStyle w:val="DHHStabletext9pt"/>
              <w:rPr>
                <w:color w:val="000000"/>
              </w:rPr>
            </w:pPr>
            <w:r w:rsidRPr="00D77DA8">
              <w:rPr>
                <w:color w:val="000000"/>
              </w:rPr>
              <w:t xml:space="preserve">Albury Wodonga Health </w:t>
            </w:r>
          </w:p>
        </w:tc>
        <w:tc>
          <w:tcPr>
            <w:tcW w:w="410" w:type="pct"/>
            <w:hideMark/>
          </w:tcPr>
          <w:p w14:paraId="7FBC4E64"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7618420B" w14:textId="77777777" w:rsidR="00931F10" w:rsidRPr="00D77DA8" w:rsidRDefault="00931F10" w:rsidP="00C83E0B">
            <w:pPr>
              <w:pStyle w:val="DHHStabletext9pt"/>
              <w:rPr>
                <w:color w:val="000000"/>
              </w:rPr>
            </w:pPr>
            <w:r w:rsidRPr="00D77DA8">
              <w:rPr>
                <w:color w:val="000000"/>
              </w:rPr>
              <w:t>Yes</w:t>
            </w:r>
          </w:p>
        </w:tc>
      </w:tr>
      <w:tr w:rsidR="00C83E0B" w:rsidRPr="003A1EF9" w14:paraId="70B1429A" w14:textId="77777777" w:rsidTr="00856F51">
        <w:trPr>
          <w:trHeight w:val="1383"/>
        </w:trPr>
        <w:tc>
          <w:tcPr>
            <w:tcW w:w="383" w:type="pct"/>
            <w:hideMark/>
          </w:tcPr>
          <w:p w14:paraId="7AD3A1A7" w14:textId="77777777" w:rsidR="00931F10" w:rsidRPr="00D77DA8" w:rsidRDefault="00931F10" w:rsidP="00C83E0B">
            <w:pPr>
              <w:pStyle w:val="DHHStabletext9pt"/>
            </w:pPr>
            <w:r w:rsidRPr="00D77DA8">
              <w:t>Ararat Rural City</w:t>
            </w:r>
          </w:p>
        </w:tc>
        <w:tc>
          <w:tcPr>
            <w:tcW w:w="2209" w:type="pct"/>
            <w:hideMark/>
          </w:tcPr>
          <w:p w14:paraId="23ED7569" w14:textId="77777777" w:rsidR="00931F10" w:rsidRPr="00D77DA8" w:rsidRDefault="00931F10" w:rsidP="00C83E0B">
            <w:pPr>
              <w:pStyle w:val="DHHStabletext9pt"/>
              <w:rPr>
                <w:color w:val="000000"/>
              </w:rPr>
            </w:pPr>
            <w:r w:rsidRPr="00D77DA8">
              <w:rPr>
                <w:color w:val="000000"/>
              </w:rPr>
              <w:t>Ararat; Armstrong; Ballyrogan; Bayindeen; Black Range; Bornes Hill; Buangor; Carranballac; Cathcart; Chatsworth; Crowlands; Denicull Creek; Dobie; Dunkeld; Dunneworthy; Elmhurst; Eversley; Glenlogie; Glenthompson; Great Western; Halls Gap; Lake Bolac; Langi Logan; Mafeking; Maroona; Middle Creek; Mininera; Mount Cole; Mount Cole Creek; Moyston; Narrapumelap South; Nerrin; Norval; Pomonal; Pura Pura; Rhymney; Rocky Point; Rossbridge; Stavely; Stoneleigh; Streatham; Tatyoon; Warrak; Westmere; Wickliffe; Willaura; Willaura North; Woorndoo; Yalla-Y-Poora</w:t>
            </w:r>
          </w:p>
        </w:tc>
        <w:tc>
          <w:tcPr>
            <w:tcW w:w="328" w:type="pct"/>
            <w:hideMark/>
          </w:tcPr>
          <w:p w14:paraId="67BE0CCB" w14:textId="77777777" w:rsidR="00931F10" w:rsidRPr="00D77DA8" w:rsidRDefault="00931F10" w:rsidP="00C83E0B">
            <w:pPr>
              <w:pStyle w:val="DHHStabletext9pt"/>
              <w:rPr>
                <w:color w:val="000000"/>
              </w:rPr>
            </w:pPr>
            <w:r w:rsidRPr="00D77DA8">
              <w:rPr>
                <w:color w:val="000000"/>
              </w:rPr>
              <w:t>Central Highlands</w:t>
            </w:r>
          </w:p>
        </w:tc>
        <w:tc>
          <w:tcPr>
            <w:tcW w:w="321" w:type="pct"/>
            <w:hideMark/>
          </w:tcPr>
          <w:p w14:paraId="00FDA4D0"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1DA8639B" w14:textId="77777777" w:rsidR="00931F10" w:rsidRPr="00D77DA8" w:rsidRDefault="00931F10" w:rsidP="00C83E0B">
            <w:pPr>
              <w:pStyle w:val="DHHStabletext9pt"/>
              <w:rPr>
                <w:color w:val="000000"/>
              </w:rPr>
            </w:pPr>
            <w:r w:rsidRPr="00D77DA8">
              <w:rPr>
                <w:color w:val="000000"/>
              </w:rPr>
              <w:t>Central Highlands</w:t>
            </w:r>
          </w:p>
        </w:tc>
        <w:tc>
          <w:tcPr>
            <w:tcW w:w="330" w:type="pct"/>
            <w:hideMark/>
          </w:tcPr>
          <w:p w14:paraId="6001F2F2" w14:textId="77777777" w:rsidR="00931F10" w:rsidRPr="00D77DA8" w:rsidRDefault="00931F10" w:rsidP="00C83E0B">
            <w:pPr>
              <w:pStyle w:val="DHHStabletext9pt"/>
              <w:rPr>
                <w:color w:val="000000"/>
              </w:rPr>
            </w:pPr>
            <w:r w:rsidRPr="00D77DA8">
              <w:rPr>
                <w:color w:val="000000"/>
              </w:rPr>
              <w:t>Ballarat Health Services</w:t>
            </w:r>
          </w:p>
        </w:tc>
        <w:tc>
          <w:tcPr>
            <w:tcW w:w="301" w:type="pct"/>
            <w:hideMark/>
          </w:tcPr>
          <w:p w14:paraId="45D217C0"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27E5FD37"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3D2FE000" w14:textId="77777777" w:rsidR="00931F10" w:rsidRPr="00D77DA8" w:rsidRDefault="00931F10" w:rsidP="00C83E0B">
            <w:pPr>
              <w:pStyle w:val="DHHStabletext9pt"/>
              <w:rPr>
                <w:color w:val="000000"/>
              </w:rPr>
            </w:pPr>
            <w:r w:rsidRPr="00D77DA8">
              <w:rPr>
                <w:color w:val="000000"/>
              </w:rPr>
              <w:t>Yes</w:t>
            </w:r>
          </w:p>
        </w:tc>
      </w:tr>
      <w:tr w:rsidR="00C83E0B" w:rsidRPr="003A1EF9" w14:paraId="5AB7AC89" w14:textId="77777777" w:rsidTr="00856F51">
        <w:trPr>
          <w:trHeight w:val="1943"/>
        </w:trPr>
        <w:tc>
          <w:tcPr>
            <w:tcW w:w="383" w:type="pct"/>
            <w:hideMark/>
          </w:tcPr>
          <w:p w14:paraId="5B550FA5" w14:textId="77777777" w:rsidR="00931F10" w:rsidRPr="00D77DA8" w:rsidRDefault="00931F10" w:rsidP="00C83E0B">
            <w:pPr>
              <w:pStyle w:val="DHHStabletext9pt"/>
            </w:pPr>
            <w:r w:rsidRPr="00D77DA8">
              <w:t>Ballarat City</w:t>
            </w:r>
          </w:p>
        </w:tc>
        <w:tc>
          <w:tcPr>
            <w:tcW w:w="2209" w:type="pct"/>
            <w:hideMark/>
          </w:tcPr>
          <w:p w14:paraId="694616F6" w14:textId="77777777" w:rsidR="00931F10" w:rsidRPr="00D77DA8" w:rsidRDefault="00931F10" w:rsidP="00C83E0B">
            <w:pPr>
              <w:pStyle w:val="DHHStabletext9pt"/>
              <w:rPr>
                <w:color w:val="000000"/>
              </w:rPr>
            </w:pPr>
            <w:r w:rsidRPr="00D77DA8">
              <w:rPr>
                <w:color w:val="000000"/>
              </w:rPr>
              <w:t>Addington; Alfredton; Ascot (Ballarat); Bakery Hill; Bald Hills; Ballarat Central; Ballarat East; Ballarat North; Black Hill; Blowhard; Bo Peep; Bonshaw; Brown Hill; Buninyong; Bunkers Hill; Burrumbeet; Canadian; Cardigan; Cardigan Village; Chapel Flat; Coghills Creek; Creswick; Delacombe; Durham Lead; Ercildoune; Eureka; Glen Park; Glendaruel; Glendonald; Golden Point (Ballarat); Gong Gong; Invermay; Invermay Park; Lake Gardens; Lake Wendouree; Learmonth; Lucas; Magpie; Miners Rest; Mitchell Park; Mount Bolton; Mount Clear; Mount Helen; Mount Pleasant; Mount Rowan; Nerrina; Newington; Redan; Scotchmans Lead; Scotsburn; Sebastopol; Smythes Creek; Soldiers Hill; Sulky; Tourello; Warrenheip; Wattle Flat; Waubra; Weatherboard; Wendouree; Windermere</w:t>
            </w:r>
          </w:p>
        </w:tc>
        <w:tc>
          <w:tcPr>
            <w:tcW w:w="328" w:type="pct"/>
            <w:hideMark/>
          </w:tcPr>
          <w:p w14:paraId="40EBDC65" w14:textId="77777777" w:rsidR="00931F10" w:rsidRPr="00D77DA8" w:rsidRDefault="00931F10" w:rsidP="00C83E0B">
            <w:pPr>
              <w:pStyle w:val="DHHStabletext9pt"/>
              <w:rPr>
                <w:color w:val="000000"/>
              </w:rPr>
            </w:pPr>
            <w:r w:rsidRPr="00D77DA8">
              <w:rPr>
                <w:color w:val="000000"/>
              </w:rPr>
              <w:t>Central Highlands</w:t>
            </w:r>
          </w:p>
        </w:tc>
        <w:tc>
          <w:tcPr>
            <w:tcW w:w="321" w:type="pct"/>
            <w:hideMark/>
          </w:tcPr>
          <w:p w14:paraId="3372E04A"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5913494D" w14:textId="77777777" w:rsidR="00931F10" w:rsidRPr="00D77DA8" w:rsidRDefault="00931F10" w:rsidP="00C83E0B">
            <w:pPr>
              <w:pStyle w:val="DHHStabletext9pt"/>
              <w:rPr>
                <w:color w:val="000000"/>
              </w:rPr>
            </w:pPr>
            <w:r w:rsidRPr="00D77DA8">
              <w:rPr>
                <w:color w:val="000000"/>
              </w:rPr>
              <w:t>Central Highlands</w:t>
            </w:r>
          </w:p>
        </w:tc>
        <w:tc>
          <w:tcPr>
            <w:tcW w:w="330" w:type="pct"/>
            <w:hideMark/>
          </w:tcPr>
          <w:p w14:paraId="53F007AE" w14:textId="77777777" w:rsidR="00931F10" w:rsidRPr="00D77DA8" w:rsidRDefault="00931F10" w:rsidP="00C83E0B">
            <w:pPr>
              <w:pStyle w:val="DHHStabletext9pt"/>
              <w:rPr>
                <w:color w:val="000000"/>
              </w:rPr>
            </w:pPr>
            <w:r w:rsidRPr="00D77DA8">
              <w:rPr>
                <w:color w:val="000000"/>
              </w:rPr>
              <w:t>Ballarat Health Services</w:t>
            </w:r>
          </w:p>
        </w:tc>
        <w:tc>
          <w:tcPr>
            <w:tcW w:w="301" w:type="pct"/>
            <w:hideMark/>
          </w:tcPr>
          <w:p w14:paraId="3A638FF4"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18965324"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5A005B33" w14:textId="77777777" w:rsidR="00931F10" w:rsidRPr="00D77DA8" w:rsidRDefault="00931F10" w:rsidP="00C83E0B">
            <w:pPr>
              <w:pStyle w:val="DHHStabletext9pt"/>
              <w:rPr>
                <w:color w:val="000000"/>
              </w:rPr>
            </w:pPr>
            <w:r w:rsidRPr="00D77DA8">
              <w:rPr>
                <w:color w:val="000000"/>
              </w:rPr>
              <w:t>Yes</w:t>
            </w:r>
          </w:p>
        </w:tc>
      </w:tr>
      <w:tr w:rsidR="00C83E0B" w:rsidRPr="003A1EF9" w14:paraId="2F9ED1AF" w14:textId="77777777" w:rsidTr="00856F51">
        <w:trPr>
          <w:trHeight w:val="794"/>
        </w:trPr>
        <w:tc>
          <w:tcPr>
            <w:tcW w:w="383" w:type="pct"/>
            <w:hideMark/>
          </w:tcPr>
          <w:p w14:paraId="5362EB05" w14:textId="77777777" w:rsidR="00931F10" w:rsidRPr="00D77DA8" w:rsidRDefault="00931F10" w:rsidP="00C83E0B">
            <w:pPr>
              <w:pStyle w:val="DHHStabletext9pt"/>
            </w:pPr>
            <w:r w:rsidRPr="00D77DA8">
              <w:t>Banyule City</w:t>
            </w:r>
          </w:p>
        </w:tc>
        <w:tc>
          <w:tcPr>
            <w:tcW w:w="2209" w:type="pct"/>
            <w:hideMark/>
          </w:tcPr>
          <w:p w14:paraId="14DF0433" w14:textId="77777777" w:rsidR="00931F10" w:rsidRPr="00D77DA8" w:rsidRDefault="00931F10" w:rsidP="00C83E0B">
            <w:pPr>
              <w:pStyle w:val="DHHStabletext9pt"/>
              <w:rPr>
                <w:color w:val="000000"/>
              </w:rPr>
            </w:pPr>
            <w:r w:rsidRPr="00D77DA8">
              <w:rPr>
                <w:color w:val="000000"/>
              </w:rPr>
              <w:t>Bellfield, Briar Hill, Bundoora (Part), Eaglemont, Eltham North (Part), Greensborough, Heidelberg, Heidelberg West, Heidelberg Heights, Ivanhoe, Ivanhoe East, Lower Plenty, Macleod (Part) Montmorency, Rosanna, St Helena, Viewbank, Watsonia, Watsonia North, Yallambie</w:t>
            </w:r>
          </w:p>
        </w:tc>
        <w:tc>
          <w:tcPr>
            <w:tcW w:w="328" w:type="pct"/>
            <w:hideMark/>
          </w:tcPr>
          <w:p w14:paraId="4AB0C2C9" w14:textId="77777777" w:rsidR="00931F10" w:rsidRPr="00D77DA8" w:rsidRDefault="00931F10" w:rsidP="00C83E0B">
            <w:pPr>
              <w:pStyle w:val="DHHStabletext9pt"/>
              <w:rPr>
                <w:color w:val="000000"/>
              </w:rPr>
            </w:pPr>
            <w:r w:rsidRPr="00D77DA8">
              <w:rPr>
                <w:color w:val="000000"/>
              </w:rPr>
              <w:t xml:space="preserve">North East Melbourne </w:t>
            </w:r>
          </w:p>
        </w:tc>
        <w:tc>
          <w:tcPr>
            <w:tcW w:w="321" w:type="pct"/>
            <w:hideMark/>
          </w:tcPr>
          <w:p w14:paraId="7A2D83F0"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3F2B961C" w14:textId="77777777" w:rsidR="00931F10" w:rsidRPr="00D77DA8" w:rsidRDefault="00931F10" w:rsidP="00C83E0B">
            <w:pPr>
              <w:pStyle w:val="DHHStabletext9pt"/>
              <w:rPr>
                <w:color w:val="000000"/>
              </w:rPr>
            </w:pPr>
            <w:r w:rsidRPr="00D77DA8">
              <w:rPr>
                <w:color w:val="000000"/>
              </w:rPr>
              <w:t>Banyule</w:t>
            </w:r>
          </w:p>
        </w:tc>
        <w:tc>
          <w:tcPr>
            <w:tcW w:w="330" w:type="pct"/>
            <w:hideMark/>
          </w:tcPr>
          <w:p w14:paraId="062A76D5" w14:textId="77777777" w:rsidR="00931F10" w:rsidRPr="00D77DA8" w:rsidRDefault="00931F10" w:rsidP="00C83E0B">
            <w:pPr>
              <w:pStyle w:val="DHHStabletext9pt"/>
              <w:rPr>
                <w:color w:val="000000"/>
              </w:rPr>
            </w:pPr>
            <w:r w:rsidRPr="009B229D">
              <w:rPr>
                <w:color w:val="000000"/>
              </w:rPr>
              <w:t>Banyule Community Health</w:t>
            </w:r>
          </w:p>
        </w:tc>
        <w:tc>
          <w:tcPr>
            <w:tcW w:w="301" w:type="pct"/>
            <w:hideMark/>
          </w:tcPr>
          <w:p w14:paraId="261D87DF" w14:textId="77777777" w:rsidR="00931F10" w:rsidRPr="00D77DA8" w:rsidRDefault="00931F10" w:rsidP="00C83E0B">
            <w:pPr>
              <w:pStyle w:val="DHHStabletext9pt"/>
              <w:rPr>
                <w:color w:val="000000"/>
              </w:rPr>
            </w:pPr>
            <w:r w:rsidRPr="00D77DA8">
              <w:rPr>
                <w:color w:val="000000"/>
              </w:rPr>
              <w:t>NEPHU</w:t>
            </w:r>
          </w:p>
        </w:tc>
        <w:tc>
          <w:tcPr>
            <w:tcW w:w="410" w:type="pct"/>
            <w:hideMark/>
          </w:tcPr>
          <w:p w14:paraId="55F23C38"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hideMark/>
          </w:tcPr>
          <w:p w14:paraId="48FD11C0" w14:textId="77777777" w:rsidR="00931F10" w:rsidRPr="00D77DA8" w:rsidRDefault="00931F10" w:rsidP="00C83E0B">
            <w:pPr>
              <w:pStyle w:val="DHHStabletext9pt"/>
              <w:rPr>
                <w:color w:val="000000"/>
              </w:rPr>
            </w:pPr>
            <w:r w:rsidRPr="00D77DA8">
              <w:rPr>
                <w:color w:val="000000"/>
              </w:rPr>
              <w:t>Yes</w:t>
            </w:r>
          </w:p>
        </w:tc>
      </w:tr>
      <w:tr w:rsidR="00C83E0B" w:rsidRPr="003A1EF9" w14:paraId="4053DB1C" w14:textId="77777777" w:rsidTr="00856F51">
        <w:trPr>
          <w:trHeight w:val="499"/>
        </w:trPr>
        <w:tc>
          <w:tcPr>
            <w:tcW w:w="383" w:type="pct"/>
            <w:shd w:val="clear" w:color="auto" w:fill="auto"/>
            <w:hideMark/>
          </w:tcPr>
          <w:p w14:paraId="7ADF05BB" w14:textId="77777777" w:rsidR="00931F10" w:rsidRPr="00D77DA8" w:rsidRDefault="00931F10" w:rsidP="00C83E0B">
            <w:pPr>
              <w:pStyle w:val="DHHStabletext9pt"/>
            </w:pPr>
            <w:r w:rsidRPr="00D77DA8">
              <w:lastRenderedPageBreak/>
              <w:t>Bass Coast Shire</w:t>
            </w:r>
          </w:p>
        </w:tc>
        <w:tc>
          <w:tcPr>
            <w:tcW w:w="2209" w:type="pct"/>
            <w:shd w:val="clear" w:color="auto" w:fill="auto"/>
            <w:hideMark/>
          </w:tcPr>
          <w:p w14:paraId="58EBCAFF" w14:textId="77777777" w:rsidR="00931F10" w:rsidRPr="00D77DA8" w:rsidRDefault="00931F10" w:rsidP="00C83E0B">
            <w:pPr>
              <w:pStyle w:val="DHHStabletext9pt"/>
              <w:rPr>
                <w:color w:val="000000"/>
              </w:rPr>
            </w:pPr>
            <w:r w:rsidRPr="00D77DA8">
              <w:rPr>
                <w:color w:val="000000"/>
              </w:rPr>
              <w:t>Almurta, Anderson, Bass, Dalyston, Glen Forbes,Inverloch</w:t>
            </w:r>
          </w:p>
        </w:tc>
        <w:tc>
          <w:tcPr>
            <w:tcW w:w="328" w:type="pct"/>
            <w:shd w:val="clear" w:color="auto" w:fill="auto"/>
            <w:hideMark/>
          </w:tcPr>
          <w:p w14:paraId="68D78069" w14:textId="77777777" w:rsidR="00931F10" w:rsidRPr="00D77DA8" w:rsidRDefault="00931F10" w:rsidP="00C83E0B">
            <w:pPr>
              <w:pStyle w:val="DHHStabletext9pt"/>
              <w:rPr>
                <w:color w:val="000000"/>
              </w:rPr>
            </w:pPr>
            <w:r w:rsidRPr="00D77DA8">
              <w:rPr>
                <w:color w:val="000000"/>
              </w:rPr>
              <w:t>Inner Gippsland Area (IGA)</w:t>
            </w:r>
          </w:p>
        </w:tc>
        <w:tc>
          <w:tcPr>
            <w:tcW w:w="321" w:type="pct"/>
            <w:shd w:val="clear" w:color="auto" w:fill="auto"/>
            <w:hideMark/>
          </w:tcPr>
          <w:p w14:paraId="2E662BF0" w14:textId="77777777" w:rsidR="00931F10" w:rsidRPr="00D77DA8" w:rsidRDefault="00931F10" w:rsidP="00C83E0B">
            <w:pPr>
              <w:pStyle w:val="DHHStabletext9pt"/>
              <w:rPr>
                <w:color w:val="000000"/>
              </w:rPr>
            </w:pPr>
            <w:r w:rsidRPr="00D77DA8">
              <w:rPr>
                <w:color w:val="000000"/>
              </w:rPr>
              <w:t>South</w:t>
            </w:r>
          </w:p>
        </w:tc>
        <w:tc>
          <w:tcPr>
            <w:tcW w:w="345" w:type="pct"/>
            <w:shd w:val="clear" w:color="auto" w:fill="auto"/>
            <w:hideMark/>
          </w:tcPr>
          <w:p w14:paraId="20B07054" w14:textId="77777777" w:rsidR="00931F10" w:rsidRPr="00D77DA8" w:rsidRDefault="00931F10" w:rsidP="00C83E0B">
            <w:pPr>
              <w:pStyle w:val="DHHStabletext9pt"/>
              <w:rPr>
                <w:color w:val="000000"/>
              </w:rPr>
            </w:pPr>
            <w:r w:rsidRPr="00D77DA8">
              <w:rPr>
                <w:color w:val="000000"/>
              </w:rPr>
              <w:t xml:space="preserve">Inner Gippsland </w:t>
            </w:r>
          </w:p>
        </w:tc>
        <w:tc>
          <w:tcPr>
            <w:tcW w:w="330" w:type="pct"/>
            <w:shd w:val="clear" w:color="auto" w:fill="auto"/>
            <w:hideMark/>
          </w:tcPr>
          <w:p w14:paraId="2BD20DB3" w14:textId="77777777" w:rsidR="00931F10" w:rsidRPr="00D77DA8" w:rsidRDefault="00931F10" w:rsidP="00C83E0B">
            <w:pPr>
              <w:pStyle w:val="DHHStabletext9pt"/>
              <w:rPr>
                <w:color w:val="000000"/>
              </w:rPr>
            </w:pPr>
            <w:r w:rsidRPr="0032414C">
              <w:rPr>
                <w:color w:val="000000"/>
              </w:rPr>
              <w:t>La Trobe Community Health Service</w:t>
            </w:r>
          </w:p>
        </w:tc>
        <w:tc>
          <w:tcPr>
            <w:tcW w:w="301" w:type="pct"/>
            <w:shd w:val="clear" w:color="auto" w:fill="auto"/>
            <w:hideMark/>
          </w:tcPr>
          <w:p w14:paraId="346454EF" w14:textId="77777777" w:rsidR="00931F10" w:rsidRPr="00D77DA8" w:rsidRDefault="00931F10" w:rsidP="00C83E0B">
            <w:pPr>
              <w:pStyle w:val="DHHStabletext9pt"/>
              <w:rPr>
                <w:color w:val="000000"/>
              </w:rPr>
            </w:pPr>
            <w:r w:rsidRPr="00D77DA8">
              <w:rPr>
                <w:color w:val="000000"/>
              </w:rPr>
              <w:t>La Trobe Health</w:t>
            </w:r>
          </w:p>
        </w:tc>
        <w:tc>
          <w:tcPr>
            <w:tcW w:w="410" w:type="pct"/>
            <w:shd w:val="clear" w:color="auto" w:fill="auto"/>
            <w:hideMark/>
          </w:tcPr>
          <w:p w14:paraId="081B248D" w14:textId="77777777" w:rsidR="00931F10" w:rsidRPr="00D77DA8" w:rsidRDefault="00931F10" w:rsidP="00C83E0B">
            <w:pPr>
              <w:pStyle w:val="DHHStabletext9pt"/>
              <w:rPr>
                <w:color w:val="000000"/>
              </w:rPr>
            </w:pPr>
            <w:r w:rsidRPr="00D77DA8">
              <w:rPr>
                <w:color w:val="000000"/>
              </w:rPr>
              <w:t>Gippsland - Lead - La Trobe Regional Health</w:t>
            </w:r>
          </w:p>
        </w:tc>
        <w:tc>
          <w:tcPr>
            <w:tcW w:w="373" w:type="pct"/>
            <w:shd w:val="clear" w:color="auto" w:fill="auto"/>
            <w:hideMark/>
          </w:tcPr>
          <w:p w14:paraId="1455F2E4" w14:textId="77777777" w:rsidR="00931F10" w:rsidRPr="00D77DA8" w:rsidRDefault="00931F10" w:rsidP="00C83E0B">
            <w:pPr>
              <w:pStyle w:val="DHHStabletext9pt"/>
              <w:rPr>
                <w:color w:val="000000"/>
              </w:rPr>
            </w:pPr>
            <w:r w:rsidRPr="00D77DA8">
              <w:rPr>
                <w:color w:val="000000"/>
              </w:rPr>
              <w:t>Yes</w:t>
            </w:r>
          </w:p>
        </w:tc>
      </w:tr>
      <w:tr w:rsidR="00C83E0B" w:rsidRPr="003A1EF9" w14:paraId="54112B43" w14:textId="77777777" w:rsidTr="00856F51">
        <w:trPr>
          <w:trHeight w:val="1365"/>
        </w:trPr>
        <w:tc>
          <w:tcPr>
            <w:tcW w:w="383" w:type="pct"/>
            <w:shd w:val="clear" w:color="auto" w:fill="auto"/>
            <w:hideMark/>
          </w:tcPr>
          <w:p w14:paraId="6C09A98B" w14:textId="77777777" w:rsidR="00931F10" w:rsidRPr="00D77DA8" w:rsidRDefault="00931F10" w:rsidP="00C83E0B">
            <w:pPr>
              <w:pStyle w:val="DHHStabletext9pt"/>
            </w:pPr>
            <w:r w:rsidRPr="00D77DA8">
              <w:t>Bass Coast Shire</w:t>
            </w:r>
          </w:p>
        </w:tc>
        <w:tc>
          <w:tcPr>
            <w:tcW w:w="2209" w:type="pct"/>
            <w:shd w:val="clear" w:color="auto" w:fill="auto"/>
            <w:hideMark/>
          </w:tcPr>
          <w:p w14:paraId="49BA3AAC" w14:textId="77777777" w:rsidR="00931F10" w:rsidRPr="00D77DA8" w:rsidRDefault="00931F10" w:rsidP="00C83E0B">
            <w:pPr>
              <w:pStyle w:val="DHHStabletext9pt"/>
              <w:rPr>
                <w:color w:val="000000"/>
              </w:rPr>
            </w:pPr>
            <w:r w:rsidRPr="00D77DA8">
              <w:rPr>
                <w:color w:val="000000"/>
              </w:rPr>
              <w:t>Adams Estate, Archies Creek, Blackwood Forest, Cape Paterson, Cape Woolamai, Churchill Island, Corinella, Coronet Bay, Cowes, Dudley South, Glen Alvie,  Grantville, Harmers Haven, Jam Jerrup, Kernot, Kilcunda, Kongwak, Krowera, Lance Creek, Lang Lang, Loch, Newhaven, Outtrim, Pioneer Bay, Pound Creek, Powlett River, Queensferry, Rhyll, Ryanston, San Remo, Silverleaves, Smiths Beach, St Clair, Summerlands, Sunderland Bay, Sunset Strip, Surf Beach, Tenby Point, The Gurdies, Ventnor, Wattle Bank, West Creek, Wimbleton Heights, Wonthaggi, Wonthaggi North, Woodleigh And Woolamai</w:t>
            </w:r>
          </w:p>
        </w:tc>
        <w:tc>
          <w:tcPr>
            <w:tcW w:w="328" w:type="pct"/>
            <w:shd w:val="clear" w:color="auto" w:fill="auto"/>
            <w:hideMark/>
          </w:tcPr>
          <w:p w14:paraId="0869B806" w14:textId="77777777" w:rsidR="00931F10" w:rsidRPr="00D77DA8" w:rsidRDefault="00931F10" w:rsidP="00C83E0B">
            <w:pPr>
              <w:pStyle w:val="DHHStabletext9pt"/>
              <w:rPr>
                <w:color w:val="000000"/>
              </w:rPr>
            </w:pPr>
            <w:r w:rsidRPr="00D77DA8">
              <w:rPr>
                <w:color w:val="000000"/>
              </w:rPr>
              <w:t>Inner Gippsland Area (IGA)</w:t>
            </w:r>
          </w:p>
        </w:tc>
        <w:tc>
          <w:tcPr>
            <w:tcW w:w="321" w:type="pct"/>
            <w:shd w:val="clear" w:color="auto" w:fill="auto"/>
            <w:hideMark/>
          </w:tcPr>
          <w:p w14:paraId="5AC561FE" w14:textId="77777777" w:rsidR="00931F10" w:rsidRPr="00D77DA8" w:rsidRDefault="00931F10" w:rsidP="00C83E0B">
            <w:pPr>
              <w:pStyle w:val="DHHStabletext9pt"/>
              <w:rPr>
                <w:color w:val="000000"/>
              </w:rPr>
            </w:pPr>
            <w:r w:rsidRPr="00D77DA8">
              <w:rPr>
                <w:color w:val="000000"/>
              </w:rPr>
              <w:t>South</w:t>
            </w:r>
          </w:p>
        </w:tc>
        <w:tc>
          <w:tcPr>
            <w:tcW w:w="345" w:type="pct"/>
            <w:shd w:val="clear" w:color="auto" w:fill="auto"/>
            <w:hideMark/>
          </w:tcPr>
          <w:p w14:paraId="614D46BB" w14:textId="77777777" w:rsidR="00931F10" w:rsidRPr="00D77DA8" w:rsidRDefault="00931F10" w:rsidP="00C83E0B">
            <w:pPr>
              <w:pStyle w:val="DHHStabletext9pt"/>
              <w:rPr>
                <w:color w:val="000000"/>
              </w:rPr>
            </w:pPr>
            <w:r w:rsidRPr="00D77DA8">
              <w:rPr>
                <w:color w:val="000000"/>
              </w:rPr>
              <w:t xml:space="preserve">Inner Gippsland </w:t>
            </w:r>
          </w:p>
        </w:tc>
        <w:tc>
          <w:tcPr>
            <w:tcW w:w="330" w:type="pct"/>
            <w:shd w:val="clear" w:color="auto" w:fill="auto"/>
            <w:hideMark/>
          </w:tcPr>
          <w:p w14:paraId="6C9F5EA1" w14:textId="77777777" w:rsidR="00931F10" w:rsidRPr="00D77DA8" w:rsidRDefault="00931F10" w:rsidP="00C83E0B">
            <w:pPr>
              <w:pStyle w:val="DHHStabletext9pt"/>
              <w:rPr>
                <w:color w:val="000000"/>
              </w:rPr>
            </w:pPr>
            <w:r w:rsidRPr="0032414C">
              <w:rPr>
                <w:color w:val="000000"/>
              </w:rPr>
              <w:t>La Trobe Community Health Service</w:t>
            </w:r>
          </w:p>
        </w:tc>
        <w:tc>
          <w:tcPr>
            <w:tcW w:w="301" w:type="pct"/>
            <w:shd w:val="clear" w:color="auto" w:fill="auto"/>
            <w:hideMark/>
          </w:tcPr>
          <w:p w14:paraId="38FE3981" w14:textId="77777777" w:rsidR="00931F10" w:rsidRPr="00D77DA8" w:rsidRDefault="00931F10" w:rsidP="00C83E0B">
            <w:pPr>
              <w:pStyle w:val="DHHStabletext9pt"/>
              <w:rPr>
                <w:color w:val="000000"/>
              </w:rPr>
            </w:pPr>
            <w:r w:rsidRPr="00D77DA8">
              <w:rPr>
                <w:color w:val="000000"/>
              </w:rPr>
              <w:t>SEPHU</w:t>
            </w:r>
          </w:p>
        </w:tc>
        <w:tc>
          <w:tcPr>
            <w:tcW w:w="410" w:type="pct"/>
            <w:shd w:val="clear" w:color="auto" w:fill="auto"/>
            <w:hideMark/>
          </w:tcPr>
          <w:p w14:paraId="0BF0DCD0" w14:textId="77777777" w:rsidR="00931F10" w:rsidRPr="00D77DA8" w:rsidRDefault="00931F10" w:rsidP="00C83E0B">
            <w:pPr>
              <w:pStyle w:val="DHHStabletext9pt"/>
              <w:rPr>
                <w:color w:val="000000"/>
              </w:rPr>
            </w:pPr>
            <w:r w:rsidRPr="00D77DA8">
              <w:rPr>
                <w:color w:val="000000"/>
              </w:rPr>
              <w:t>Gippsland - Lead - La Trobe Regional Health</w:t>
            </w:r>
          </w:p>
        </w:tc>
        <w:tc>
          <w:tcPr>
            <w:tcW w:w="373" w:type="pct"/>
            <w:shd w:val="clear" w:color="auto" w:fill="auto"/>
            <w:hideMark/>
          </w:tcPr>
          <w:p w14:paraId="3253CDF6" w14:textId="77777777" w:rsidR="00931F10" w:rsidRPr="00D77DA8" w:rsidRDefault="00931F10" w:rsidP="00C83E0B">
            <w:pPr>
              <w:pStyle w:val="DHHStabletext9pt"/>
              <w:rPr>
                <w:color w:val="000000"/>
              </w:rPr>
            </w:pPr>
            <w:r w:rsidRPr="00D77DA8">
              <w:rPr>
                <w:color w:val="000000"/>
              </w:rPr>
              <w:t>Yes</w:t>
            </w:r>
          </w:p>
        </w:tc>
      </w:tr>
      <w:tr w:rsidR="00C83E0B" w:rsidRPr="003A1EF9" w14:paraId="0FAD6D2C" w14:textId="77777777" w:rsidTr="00856F51">
        <w:trPr>
          <w:trHeight w:val="2377"/>
        </w:trPr>
        <w:tc>
          <w:tcPr>
            <w:tcW w:w="383" w:type="pct"/>
            <w:hideMark/>
          </w:tcPr>
          <w:p w14:paraId="31B57B76" w14:textId="77777777" w:rsidR="00931F10" w:rsidRPr="00B66D01" w:rsidRDefault="00931F10" w:rsidP="00C83E0B">
            <w:pPr>
              <w:pStyle w:val="DHHStabletext9pt"/>
            </w:pPr>
            <w:r w:rsidRPr="00B66D01">
              <w:t>Baw Baw Shire</w:t>
            </w:r>
          </w:p>
        </w:tc>
        <w:tc>
          <w:tcPr>
            <w:tcW w:w="2209" w:type="pct"/>
            <w:hideMark/>
          </w:tcPr>
          <w:p w14:paraId="1A4E3AB5" w14:textId="77777777" w:rsidR="00931F10" w:rsidRPr="00D77DA8" w:rsidRDefault="00931F10" w:rsidP="00C83E0B">
            <w:pPr>
              <w:pStyle w:val="DHHStabletext9pt"/>
              <w:rPr>
                <w:color w:val="000000"/>
              </w:rPr>
            </w:pPr>
            <w:r w:rsidRPr="00D77DA8">
              <w:rPr>
                <w:color w:val="000000"/>
              </w:rPr>
              <w:t>Aberfeldy, Ada, Allambee, Allambee Reserve, Allambee South, Amor, Athlone, Baw Baw, Baw Baw Village, Bona Vista, Boola, Brandy Creek, Bravington, Buln Buln, Buln Buln East, Caringal, Childers, Cloverlea, Coalville, Coopers Creek, Crossover, Darnum, Delburn, Driffield, Drouin, Drouin East, Drouin South, Drouin West, Ellinbank, Erica, Ferndale, Fumina, Fumina South, Gainsborough, Gentle Annie, Glengarry North, Hallora, Hallston, Heath Hill, Hernes Oak, Hill End, Icy Creek, Jacob Creek, Jericho, Jindivick, Labertouche, Lardner, Lillico, Loch Valley, Longwarry, Longwarry North, Mirboo South, Modella, Moe, Moe South, Moondarra, Mountain View, Narracan, Nayook, Neerim, Neerim East, Neerim Junction, Neerim North, Neerim South, Nilma, Noojee, Nyora, Piedmont, Poowong East, Poowong North, Rawson, Ripplebrook, Rokeby, Seaview, Shady Creek, Strzelecki, Tanjil, Tanjil Bren, Tanjil South, Tetoora Road, Thaloo, Thomson, Thorpdale, Thorpdale South, Toombon, Toongabbie, Toorongo, Trafalgar, Trafalgar East, Trafalgar South, Trida, Vesper, Walhalla, Warragul, Warragul South, Warragul West, Westbury, Willow Grove, Yallourn North, Yarragon And Yarragon South</w:t>
            </w:r>
          </w:p>
        </w:tc>
        <w:tc>
          <w:tcPr>
            <w:tcW w:w="328" w:type="pct"/>
            <w:hideMark/>
          </w:tcPr>
          <w:p w14:paraId="462EE741" w14:textId="77777777" w:rsidR="00931F10" w:rsidRPr="00D77DA8" w:rsidRDefault="00931F10" w:rsidP="00C83E0B">
            <w:pPr>
              <w:pStyle w:val="DHHStabletext9pt"/>
              <w:rPr>
                <w:color w:val="000000"/>
              </w:rPr>
            </w:pPr>
            <w:r w:rsidRPr="00D77DA8">
              <w:rPr>
                <w:color w:val="000000"/>
              </w:rPr>
              <w:t>Inner Gippsland Area (IGA)</w:t>
            </w:r>
          </w:p>
        </w:tc>
        <w:tc>
          <w:tcPr>
            <w:tcW w:w="321" w:type="pct"/>
            <w:hideMark/>
          </w:tcPr>
          <w:p w14:paraId="106A769E"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5F55423F" w14:textId="77777777" w:rsidR="00931F10" w:rsidRPr="00D77DA8" w:rsidRDefault="00931F10" w:rsidP="00C83E0B">
            <w:pPr>
              <w:pStyle w:val="DHHStabletext9pt"/>
              <w:rPr>
                <w:color w:val="000000"/>
              </w:rPr>
            </w:pPr>
            <w:r w:rsidRPr="00D77DA8">
              <w:rPr>
                <w:color w:val="000000"/>
              </w:rPr>
              <w:t xml:space="preserve">Inner Gippsland </w:t>
            </w:r>
          </w:p>
        </w:tc>
        <w:tc>
          <w:tcPr>
            <w:tcW w:w="330" w:type="pct"/>
            <w:hideMark/>
          </w:tcPr>
          <w:p w14:paraId="64DB433A" w14:textId="77777777" w:rsidR="00931F10" w:rsidRPr="00D77DA8" w:rsidRDefault="00931F10" w:rsidP="00C83E0B">
            <w:pPr>
              <w:pStyle w:val="DHHStabletext9pt"/>
              <w:rPr>
                <w:color w:val="000000"/>
              </w:rPr>
            </w:pPr>
            <w:r w:rsidRPr="0032414C">
              <w:rPr>
                <w:color w:val="000000"/>
              </w:rPr>
              <w:t>La Trobe Community Health Service</w:t>
            </w:r>
          </w:p>
        </w:tc>
        <w:tc>
          <w:tcPr>
            <w:tcW w:w="301" w:type="pct"/>
            <w:hideMark/>
          </w:tcPr>
          <w:p w14:paraId="4AAEE7D4" w14:textId="77777777" w:rsidR="00931F10" w:rsidRPr="00D77DA8" w:rsidRDefault="00931F10" w:rsidP="00C83E0B">
            <w:pPr>
              <w:pStyle w:val="DHHStabletext9pt"/>
              <w:rPr>
                <w:color w:val="000000"/>
              </w:rPr>
            </w:pPr>
            <w:r w:rsidRPr="00D77DA8">
              <w:rPr>
                <w:color w:val="000000"/>
              </w:rPr>
              <w:t>La Trobe Health</w:t>
            </w:r>
          </w:p>
        </w:tc>
        <w:tc>
          <w:tcPr>
            <w:tcW w:w="410" w:type="pct"/>
            <w:hideMark/>
          </w:tcPr>
          <w:p w14:paraId="33008F1A" w14:textId="77777777" w:rsidR="00931F10" w:rsidRPr="00D77DA8" w:rsidRDefault="00931F10" w:rsidP="00C83E0B">
            <w:pPr>
              <w:pStyle w:val="DHHStabletext9pt"/>
              <w:rPr>
                <w:color w:val="000000"/>
              </w:rPr>
            </w:pPr>
            <w:r w:rsidRPr="00D77DA8">
              <w:rPr>
                <w:color w:val="000000"/>
              </w:rPr>
              <w:t>Gippsland - Lead - La Trobe Regional Health</w:t>
            </w:r>
          </w:p>
        </w:tc>
        <w:tc>
          <w:tcPr>
            <w:tcW w:w="373" w:type="pct"/>
            <w:hideMark/>
          </w:tcPr>
          <w:p w14:paraId="377E9F2E" w14:textId="77777777" w:rsidR="00931F10" w:rsidRPr="00D77DA8" w:rsidRDefault="00931F10" w:rsidP="00C83E0B">
            <w:pPr>
              <w:pStyle w:val="DHHStabletext9pt"/>
              <w:rPr>
                <w:color w:val="000000"/>
              </w:rPr>
            </w:pPr>
            <w:r w:rsidRPr="00D77DA8">
              <w:rPr>
                <w:color w:val="000000"/>
              </w:rPr>
              <w:t>Yes</w:t>
            </w:r>
          </w:p>
        </w:tc>
      </w:tr>
      <w:tr w:rsidR="00C83E0B" w:rsidRPr="003A1EF9" w14:paraId="0CEFB300" w14:textId="77777777" w:rsidTr="00856F51">
        <w:trPr>
          <w:trHeight w:val="1200"/>
        </w:trPr>
        <w:tc>
          <w:tcPr>
            <w:tcW w:w="383" w:type="pct"/>
            <w:hideMark/>
          </w:tcPr>
          <w:p w14:paraId="0B41F313" w14:textId="77777777" w:rsidR="00931F10" w:rsidRPr="00D77DA8" w:rsidRDefault="00931F10" w:rsidP="00C83E0B">
            <w:pPr>
              <w:pStyle w:val="DHHStabletext9pt"/>
            </w:pPr>
            <w:r w:rsidRPr="00D77DA8">
              <w:t>Bayside City</w:t>
            </w:r>
          </w:p>
        </w:tc>
        <w:tc>
          <w:tcPr>
            <w:tcW w:w="2209" w:type="pct"/>
            <w:hideMark/>
          </w:tcPr>
          <w:p w14:paraId="7C16DB51" w14:textId="77777777" w:rsidR="00931F10" w:rsidRPr="00D77DA8" w:rsidRDefault="00931F10" w:rsidP="00C83E0B">
            <w:pPr>
              <w:pStyle w:val="DHHStabletext9pt"/>
              <w:rPr>
                <w:color w:val="000000"/>
              </w:rPr>
            </w:pPr>
            <w:r w:rsidRPr="00D77DA8">
              <w:rPr>
                <w:color w:val="000000"/>
              </w:rPr>
              <w:t>Beaumaris, Black Rock, Brighton, Brighton East, Cheltenham, Cromer, Dendy, Hampton, Hampton East, Highett, Moorabbin And Sandringham</w:t>
            </w:r>
          </w:p>
        </w:tc>
        <w:tc>
          <w:tcPr>
            <w:tcW w:w="328" w:type="pct"/>
            <w:hideMark/>
          </w:tcPr>
          <w:p w14:paraId="13E8B434" w14:textId="77777777" w:rsidR="00931F10" w:rsidRPr="00D77DA8" w:rsidRDefault="00931F10" w:rsidP="00C83E0B">
            <w:pPr>
              <w:pStyle w:val="DHHStabletext9pt"/>
              <w:rPr>
                <w:color w:val="000000"/>
              </w:rPr>
            </w:pPr>
            <w:r w:rsidRPr="00D77DA8">
              <w:rPr>
                <w:color w:val="000000"/>
              </w:rPr>
              <w:t>Bayside Peninsula Area (BPA)</w:t>
            </w:r>
          </w:p>
        </w:tc>
        <w:tc>
          <w:tcPr>
            <w:tcW w:w="321" w:type="pct"/>
            <w:hideMark/>
          </w:tcPr>
          <w:p w14:paraId="6155F971"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3A4F59FD" w14:textId="77777777" w:rsidR="00931F10" w:rsidRPr="00D77DA8" w:rsidRDefault="00931F10" w:rsidP="00C83E0B">
            <w:pPr>
              <w:pStyle w:val="DHHStabletext9pt"/>
              <w:rPr>
                <w:color w:val="000000" w:themeColor="text1"/>
              </w:rPr>
            </w:pPr>
            <w:r w:rsidRPr="76CA946F">
              <w:rPr>
                <w:rFonts w:cstheme="minorBidi"/>
                <w:color w:val="000000" w:themeColor="text1"/>
              </w:rPr>
              <w:t>Bayside Peninsula Middle</w:t>
            </w:r>
          </w:p>
        </w:tc>
        <w:tc>
          <w:tcPr>
            <w:tcW w:w="330" w:type="pct"/>
            <w:hideMark/>
          </w:tcPr>
          <w:p w14:paraId="113C1502" w14:textId="77777777" w:rsidR="00931F10" w:rsidRPr="00D77DA8" w:rsidRDefault="00931F10" w:rsidP="00C83E0B">
            <w:pPr>
              <w:pStyle w:val="DHHStabletext9pt"/>
              <w:rPr>
                <w:color w:val="000000" w:themeColor="text1"/>
              </w:rPr>
            </w:pPr>
            <w:r w:rsidRPr="76CA946F">
              <w:rPr>
                <w:rFonts w:cstheme="minorBidi"/>
                <w:color w:val="000000" w:themeColor="text1"/>
              </w:rPr>
              <w:t>Connect Health</w:t>
            </w:r>
          </w:p>
        </w:tc>
        <w:tc>
          <w:tcPr>
            <w:tcW w:w="301" w:type="pct"/>
            <w:hideMark/>
          </w:tcPr>
          <w:p w14:paraId="48FE95E3"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69C90D17" w14:textId="77777777" w:rsidR="00931F10" w:rsidRPr="00D77DA8" w:rsidRDefault="00931F10" w:rsidP="00C83E0B">
            <w:pPr>
              <w:pStyle w:val="DHHStabletext9pt"/>
              <w:rPr>
                <w:color w:val="000000"/>
              </w:rPr>
            </w:pPr>
            <w:r w:rsidRPr="00D77DA8">
              <w:rPr>
                <w:color w:val="000000"/>
              </w:rPr>
              <w:t>South Metro - Lead - Alfred Health</w:t>
            </w:r>
          </w:p>
        </w:tc>
        <w:tc>
          <w:tcPr>
            <w:tcW w:w="373" w:type="pct"/>
            <w:hideMark/>
          </w:tcPr>
          <w:p w14:paraId="61080D36" w14:textId="77777777" w:rsidR="00931F10" w:rsidRPr="00D77DA8" w:rsidRDefault="00931F10" w:rsidP="00C83E0B">
            <w:pPr>
              <w:pStyle w:val="DHHStabletext9pt"/>
              <w:rPr>
                <w:color w:val="000000"/>
              </w:rPr>
            </w:pPr>
            <w:r w:rsidRPr="00D77DA8">
              <w:rPr>
                <w:color w:val="000000"/>
              </w:rPr>
              <w:t>Yes</w:t>
            </w:r>
          </w:p>
        </w:tc>
      </w:tr>
      <w:tr w:rsidR="00C83E0B" w:rsidRPr="003A1EF9" w14:paraId="3C30E336" w14:textId="77777777" w:rsidTr="00856F51">
        <w:trPr>
          <w:trHeight w:val="763"/>
        </w:trPr>
        <w:tc>
          <w:tcPr>
            <w:tcW w:w="383" w:type="pct"/>
            <w:hideMark/>
          </w:tcPr>
          <w:p w14:paraId="62B2CD6E" w14:textId="77777777" w:rsidR="00931F10" w:rsidRPr="00D77DA8" w:rsidRDefault="00931F10" w:rsidP="00C83E0B">
            <w:pPr>
              <w:pStyle w:val="DHHStabletext9pt"/>
            </w:pPr>
            <w:r w:rsidRPr="00D77DA8">
              <w:lastRenderedPageBreak/>
              <w:t>Benalla Rural City</w:t>
            </w:r>
          </w:p>
        </w:tc>
        <w:tc>
          <w:tcPr>
            <w:tcW w:w="2209" w:type="pct"/>
            <w:hideMark/>
          </w:tcPr>
          <w:p w14:paraId="007FEB47" w14:textId="77777777" w:rsidR="00931F10" w:rsidRPr="00D77DA8" w:rsidRDefault="00931F10" w:rsidP="00C83E0B">
            <w:pPr>
              <w:pStyle w:val="DHHStabletext9pt"/>
              <w:rPr>
                <w:color w:val="000000"/>
              </w:rPr>
            </w:pPr>
            <w:r w:rsidRPr="00D77DA8">
              <w:rPr>
                <w:color w:val="000000"/>
              </w:rPr>
              <w:t>Archerton, Benalla, Boweya, Boxwood, Wangandary, Broken Creek, Bungeet, Bungeet West, Chesney Vale, Devenish, Glenrowan, Glenrowan West, Goomalibee, Goorambat, Lima, Lima East, Lurg, Major Plains, Molyullah, Moorngag, Mount Bruno, Myrrhee, Samaria, Stewarton, Swanpool Taminick, Tarnook, Tatong, Thoona, Upper Lurg, Upper Ryans Creek, Warrenbayne, Winton</w:t>
            </w:r>
          </w:p>
        </w:tc>
        <w:tc>
          <w:tcPr>
            <w:tcW w:w="328" w:type="pct"/>
            <w:hideMark/>
          </w:tcPr>
          <w:p w14:paraId="4671AF00" w14:textId="77777777" w:rsidR="00931F10" w:rsidRPr="00D77DA8" w:rsidRDefault="00931F10" w:rsidP="00C83E0B">
            <w:pPr>
              <w:pStyle w:val="DHHStabletext9pt"/>
              <w:rPr>
                <w:color w:val="000000"/>
              </w:rPr>
            </w:pPr>
            <w:r w:rsidRPr="00D77DA8">
              <w:rPr>
                <w:color w:val="000000"/>
              </w:rPr>
              <w:t>Ovens Murray</w:t>
            </w:r>
          </w:p>
        </w:tc>
        <w:tc>
          <w:tcPr>
            <w:tcW w:w="321" w:type="pct"/>
            <w:hideMark/>
          </w:tcPr>
          <w:p w14:paraId="1253734A"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267A861F" w14:textId="77777777" w:rsidR="00931F10" w:rsidRPr="00D77DA8" w:rsidRDefault="00931F10" w:rsidP="00C83E0B">
            <w:pPr>
              <w:pStyle w:val="DHHStabletext9pt"/>
              <w:rPr>
                <w:color w:val="000000"/>
              </w:rPr>
            </w:pPr>
            <w:r w:rsidRPr="00D77DA8">
              <w:rPr>
                <w:color w:val="000000"/>
              </w:rPr>
              <w:t>Ovens Murray</w:t>
            </w:r>
          </w:p>
        </w:tc>
        <w:tc>
          <w:tcPr>
            <w:tcW w:w="330" w:type="pct"/>
            <w:hideMark/>
          </w:tcPr>
          <w:p w14:paraId="45781B7E" w14:textId="77777777" w:rsidR="00931F10" w:rsidRPr="00D77DA8" w:rsidRDefault="00931F10" w:rsidP="00C83E0B">
            <w:pPr>
              <w:pStyle w:val="DHHStabletext9pt"/>
              <w:rPr>
                <w:color w:val="000000"/>
              </w:rPr>
            </w:pPr>
            <w:r w:rsidRPr="00D77DA8">
              <w:rPr>
                <w:color w:val="000000"/>
              </w:rPr>
              <w:t>Gateway Health</w:t>
            </w:r>
          </w:p>
        </w:tc>
        <w:tc>
          <w:tcPr>
            <w:tcW w:w="301" w:type="pct"/>
            <w:hideMark/>
          </w:tcPr>
          <w:p w14:paraId="2BC38E83" w14:textId="77777777" w:rsidR="00931F10" w:rsidRPr="00D77DA8" w:rsidRDefault="00931F10" w:rsidP="00C83E0B">
            <w:pPr>
              <w:pStyle w:val="DHHStabletext9pt"/>
              <w:rPr>
                <w:color w:val="000000"/>
              </w:rPr>
            </w:pPr>
            <w:r w:rsidRPr="00D77DA8">
              <w:rPr>
                <w:color w:val="000000"/>
              </w:rPr>
              <w:t>Goulburn Health</w:t>
            </w:r>
          </w:p>
        </w:tc>
        <w:tc>
          <w:tcPr>
            <w:tcW w:w="410" w:type="pct"/>
            <w:hideMark/>
          </w:tcPr>
          <w:p w14:paraId="083EF3FC"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7222CD75" w14:textId="77777777" w:rsidR="00931F10" w:rsidRPr="00D77DA8" w:rsidRDefault="00931F10" w:rsidP="00C83E0B">
            <w:pPr>
              <w:pStyle w:val="DHHStabletext9pt"/>
              <w:rPr>
                <w:color w:val="000000"/>
              </w:rPr>
            </w:pPr>
            <w:r w:rsidRPr="00D77DA8">
              <w:rPr>
                <w:color w:val="000000"/>
              </w:rPr>
              <w:t>Yes</w:t>
            </w:r>
          </w:p>
        </w:tc>
      </w:tr>
      <w:tr w:rsidR="00C83E0B" w:rsidRPr="003A1EF9" w14:paraId="2BD502D1" w14:textId="77777777" w:rsidTr="00856F51">
        <w:trPr>
          <w:trHeight w:val="1200"/>
        </w:trPr>
        <w:tc>
          <w:tcPr>
            <w:tcW w:w="383" w:type="pct"/>
            <w:shd w:val="clear" w:color="auto" w:fill="auto"/>
            <w:hideMark/>
          </w:tcPr>
          <w:p w14:paraId="3A896310" w14:textId="77777777" w:rsidR="00931F10" w:rsidRPr="00D77DA8" w:rsidRDefault="00931F10" w:rsidP="00C83E0B">
            <w:pPr>
              <w:pStyle w:val="DHHStabletext9pt"/>
            </w:pPr>
            <w:r w:rsidRPr="00D77DA8">
              <w:t>Boroondara City</w:t>
            </w:r>
          </w:p>
        </w:tc>
        <w:tc>
          <w:tcPr>
            <w:tcW w:w="2209" w:type="pct"/>
            <w:shd w:val="clear" w:color="auto" w:fill="auto"/>
            <w:hideMark/>
          </w:tcPr>
          <w:p w14:paraId="43AA2B7D" w14:textId="77777777" w:rsidR="00931F10" w:rsidRPr="00D77DA8" w:rsidRDefault="00931F10" w:rsidP="00C83E0B">
            <w:pPr>
              <w:pStyle w:val="DHHStabletext9pt"/>
            </w:pPr>
            <w:r w:rsidRPr="00D77DA8">
              <w:t>Ashburton, Glen Iris</w:t>
            </w:r>
          </w:p>
        </w:tc>
        <w:tc>
          <w:tcPr>
            <w:tcW w:w="328" w:type="pct"/>
            <w:shd w:val="clear" w:color="auto" w:fill="auto"/>
            <w:hideMark/>
          </w:tcPr>
          <w:p w14:paraId="7253299B" w14:textId="77777777" w:rsidR="00931F10" w:rsidRPr="00D77DA8" w:rsidRDefault="00931F10" w:rsidP="00C83E0B">
            <w:pPr>
              <w:pStyle w:val="DHHStabletext9pt"/>
              <w:rPr>
                <w:color w:val="000000"/>
              </w:rPr>
            </w:pPr>
            <w:r w:rsidRPr="00D77DA8">
              <w:rPr>
                <w:color w:val="000000"/>
              </w:rPr>
              <w:t>Outer Eastern</w:t>
            </w:r>
          </w:p>
        </w:tc>
        <w:tc>
          <w:tcPr>
            <w:tcW w:w="321" w:type="pct"/>
            <w:shd w:val="clear" w:color="auto" w:fill="auto"/>
            <w:hideMark/>
          </w:tcPr>
          <w:p w14:paraId="7B701F48" w14:textId="77777777" w:rsidR="00931F10" w:rsidRPr="00D77DA8" w:rsidRDefault="00931F10" w:rsidP="00C83E0B">
            <w:pPr>
              <w:pStyle w:val="DHHStabletext9pt"/>
              <w:rPr>
                <w:color w:val="000000"/>
              </w:rPr>
            </w:pPr>
            <w:r w:rsidRPr="00D77DA8">
              <w:rPr>
                <w:color w:val="000000"/>
              </w:rPr>
              <w:t>East</w:t>
            </w:r>
          </w:p>
        </w:tc>
        <w:tc>
          <w:tcPr>
            <w:tcW w:w="345" w:type="pct"/>
            <w:shd w:val="clear" w:color="auto" w:fill="auto"/>
            <w:hideMark/>
          </w:tcPr>
          <w:p w14:paraId="176D16A7" w14:textId="77777777" w:rsidR="00931F10" w:rsidRPr="00D77DA8" w:rsidRDefault="00931F10" w:rsidP="00C83E0B">
            <w:pPr>
              <w:pStyle w:val="DHHStabletext9pt"/>
              <w:rPr>
                <w:color w:val="000000"/>
              </w:rPr>
            </w:pPr>
            <w:r w:rsidRPr="00D77DA8">
              <w:rPr>
                <w:color w:val="000000"/>
              </w:rPr>
              <w:t>Outer Eastern</w:t>
            </w:r>
          </w:p>
        </w:tc>
        <w:tc>
          <w:tcPr>
            <w:tcW w:w="330" w:type="pct"/>
            <w:shd w:val="clear" w:color="auto" w:fill="auto"/>
            <w:hideMark/>
          </w:tcPr>
          <w:p w14:paraId="4F0AC422" w14:textId="77777777" w:rsidR="00931F10" w:rsidRPr="00D53B64" w:rsidRDefault="00931F10" w:rsidP="00C83E0B">
            <w:pPr>
              <w:pStyle w:val="DHHStabletext9pt"/>
              <w:rPr>
                <w:color w:val="000000"/>
              </w:rPr>
            </w:pPr>
            <w:r w:rsidRPr="00D53B64">
              <w:rPr>
                <w:color w:val="000000"/>
              </w:rPr>
              <w:t>EACH</w:t>
            </w:r>
          </w:p>
        </w:tc>
        <w:tc>
          <w:tcPr>
            <w:tcW w:w="301" w:type="pct"/>
            <w:shd w:val="clear" w:color="auto" w:fill="auto"/>
            <w:hideMark/>
          </w:tcPr>
          <w:p w14:paraId="6B13206B" w14:textId="77777777" w:rsidR="00931F10" w:rsidRPr="00D77DA8" w:rsidRDefault="00931F10" w:rsidP="00C83E0B">
            <w:pPr>
              <w:pStyle w:val="DHHStabletext9pt"/>
              <w:rPr>
                <w:color w:val="000000"/>
              </w:rPr>
            </w:pPr>
            <w:r w:rsidRPr="00D77DA8">
              <w:rPr>
                <w:color w:val="000000"/>
              </w:rPr>
              <w:t>SEPHU</w:t>
            </w:r>
          </w:p>
        </w:tc>
        <w:tc>
          <w:tcPr>
            <w:tcW w:w="410" w:type="pct"/>
            <w:shd w:val="clear" w:color="auto" w:fill="auto"/>
            <w:hideMark/>
          </w:tcPr>
          <w:p w14:paraId="57CFA16E"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shd w:val="clear" w:color="auto" w:fill="auto"/>
            <w:hideMark/>
          </w:tcPr>
          <w:p w14:paraId="5370DCD7" w14:textId="77777777" w:rsidR="00931F10" w:rsidRPr="00D77DA8" w:rsidRDefault="00931F10" w:rsidP="00C83E0B">
            <w:pPr>
              <w:pStyle w:val="DHHStabletext9pt"/>
              <w:rPr>
                <w:color w:val="000000"/>
              </w:rPr>
            </w:pPr>
            <w:r w:rsidRPr="00D77DA8">
              <w:rPr>
                <w:color w:val="000000"/>
              </w:rPr>
              <w:t>Yes</w:t>
            </w:r>
          </w:p>
        </w:tc>
      </w:tr>
      <w:tr w:rsidR="00C83E0B" w:rsidRPr="003A1EF9" w14:paraId="3DC5C292" w14:textId="77777777" w:rsidTr="00856F51">
        <w:trPr>
          <w:trHeight w:val="909"/>
        </w:trPr>
        <w:tc>
          <w:tcPr>
            <w:tcW w:w="383" w:type="pct"/>
            <w:shd w:val="clear" w:color="auto" w:fill="auto"/>
            <w:hideMark/>
          </w:tcPr>
          <w:p w14:paraId="25D9D62F" w14:textId="77777777" w:rsidR="00931F10" w:rsidRPr="00D77DA8" w:rsidRDefault="00931F10" w:rsidP="00C83E0B">
            <w:pPr>
              <w:pStyle w:val="DHHStabletext9pt"/>
            </w:pPr>
            <w:r w:rsidRPr="00D77DA8">
              <w:t>Boroondara City</w:t>
            </w:r>
          </w:p>
        </w:tc>
        <w:tc>
          <w:tcPr>
            <w:tcW w:w="2209" w:type="pct"/>
            <w:shd w:val="clear" w:color="auto" w:fill="auto"/>
            <w:hideMark/>
          </w:tcPr>
          <w:p w14:paraId="30FA7CC7" w14:textId="77777777" w:rsidR="00931F10" w:rsidRPr="00D77DA8" w:rsidRDefault="00931F10" w:rsidP="00C83E0B">
            <w:pPr>
              <w:pStyle w:val="DHHStabletext9pt"/>
            </w:pPr>
            <w:r w:rsidRPr="00D77DA8">
              <w:t>Balwyn, Balwyn North, Burwood, Camberwell, Canterbury, Deepdeene, Glenferrie South, Greythorn, Hawthorn, Hawthorn East, Kew, Kew East, Mont Albert, Surrey Hills</w:t>
            </w:r>
          </w:p>
        </w:tc>
        <w:tc>
          <w:tcPr>
            <w:tcW w:w="328" w:type="pct"/>
            <w:shd w:val="clear" w:color="auto" w:fill="auto"/>
            <w:hideMark/>
          </w:tcPr>
          <w:p w14:paraId="14919E82" w14:textId="77777777" w:rsidR="00931F10" w:rsidRPr="00D77DA8" w:rsidRDefault="00931F10" w:rsidP="00C83E0B">
            <w:pPr>
              <w:pStyle w:val="DHHStabletext9pt"/>
              <w:rPr>
                <w:color w:val="000000"/>
              </w:rPr>
            </w:pPr>
            <w:r w:rsidRPr="00D77DA8">
              <w:rPr>
                <w:color w:val="000000"/>
              </w:rPr>
              <w:t>Outer Eastern</w:t>
            </w:r>
          </w:p>
        </w:tc>
        <w:tc>
          <w:tcPr>
            <w:tcW w:w="321" w:type="pct"/>
            <w:shd w:val="clear" w:color="auto" w:fill="auto"/>
            <w:hideMark/>
          </w:tcPr>
          <w:p w14:paraId="317AAE41" w14:textId="77777777" w:rsidR="00931F10" w:rsidRPr="00D77DA8" w:rsidRDefault="00931F10" w:rsidP="00C83E0B">
            <w:pPr>
              <w:pStyle w:val="DHHStabletext9pt"/>
              <w:rPr>
                <w:color w:val="000000"/>
              </w:rPr>
            </w:pPr>
            <w:r w:rsidRPr="00D77DA8">
              <w:rPr>
                <w:color w:val="000000"/>
              </w:rPr>
              <w:t>East</w:t>
            </w:r>
          </w:p>
        </w:tc>
        <w:tc>
          <w:tcPr>
            <w:tcW w:w="345" w:type="pct"/>
            <w:shd w:val="clear" w:color="auto" w:fill="auto"/>
            <w:hideMark/>
          </w:tcPr>
          <w:p w14:paraId="4A7BC2F6" w14:textId="77777777" w:rsidR="00931F10" w:rsidRPr="00D77DA8" w:rsidRDefault="00931F10" w:rsidP="00C83E0B">
            <w:pPr>
              <w:pStyle w:val="DHHStabletext9pt"/>
              <w:rPr>
                <w:color w:val="000000"/>
              </w:rPr>
            </w:pPr>
            <w:r w:rsidRPr="00D77DA8">
              <w:rPr>
                <w:color w:val="000000"/>
              </w:rPr>
              <w:t>Outer Eastern</w:t>
            </w:r>
          </w:p>
        </w:tc>
        <w:tc>
          <w:tcPr>
            <w:tcW w:w="330" w:type="pct"/>
            <w:shd w:val="clear" w:color="auto" w:fill="auto"/>
            <w:hideMark/>
          </w:tcPr>
          <w:p w14:paraId="08F33EEC" w14:textId="77777777" w:rsidR="00931F10" w:rsidRPr="00D53B64" w:rsidRDefault="00931F10" w:rsidP="00C83E0B">
            <w:pPr>
              <w:pStyle w:val="DHHStabletext9pt"/>
              <w:rPr>
                <w:color w:val="000000"/>
              </w:rPr>
            </w:pPr>
            <w:r w:rsidRPr="00D53B64">
              <w:rPr>
                <w:color w:val="000000"/>
              </w:rPr>
              <w:t>EACH</w:t>
            </w:r>
          </w:p>
        </w:tc>
        <w:tc>
          <w:tcPr>
            <w:tcW w:w="301" w:type="pct"/>
            <w:shd w:val="clear" w:color="auto" w:fill="auto"/>
            <w:hideMark/>
          </w:tcPr>
          <w:p w14:paraId="76C19842" w14:textId="77777777" w:rsidR="00931F10" w:rsidRPr="00D77DA8" w:rsidRDefault="00931F10" w:rsidP="00C83E0B">
            <w:pPr>
              <w:pStyle w:val="DHHStabletext9pt"/>
              <w:rPr>
                <w:color w:val="000000"/>
              </w:rPr>
            </w:pPr>
            <w:r w:rsidRPr="00D77DA8">
              <w:rPr>
                <w:color w:val="000000"/>
              </w:rPr>
              <w:t>NEPHU</w:t>
            </w:r>
          </w:p>
        </w:tc>
        <w:tc>
          <w:tcPr>
            <w:tcW w:w="410" w:type="pct"/>
            <w:shd w:val="clear" w:color="auto" w:fill="auto"/>
            <w:hideMark/>
          </w:tcPr>
          <w:p w14:paraId="7BFB027A"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shd w:val="clear" w:color="auto" w:fill="auto"/>
            <w:hideMark/>
          </w:tcPr>
          <w:p w14:paraId="679AEEBD" w14:textId="77777777" w:rsidR="00931F10" w:rsidRPr="00D77DA8" w:rsidRDefault="00931F10" w:rsidP="00C83E0B">
            <w:pPr>
              <w:pStyle w:val="DHHStabletext9pt"/>
              <w:rPr>
                <w:color w:val="000000"/>
              </w:rPr>
            </w:pPr>
            <w:r w:rsidRPr="00D77DA8">
              <w:rPr>
                <w:color w:val="000000"/>
              </w:rPr>
              <w:t>Yes</w:t>
            </w:r>
          </w:p>
        </w:tc>
      </w:tr>
      <w:tr w:rsidR="00C83E0B" w:rsidRPr="003A1EF9" w14:paraId="51CB3FF7" w14:textId="77777777" w:rsidTr="00856F51">
        <w:trPr>
          <w:trHeight w:val="1200"/>
        </w:trPr>
        <w:tc>
          <w:tcPr>
            <w:tcW w:w="383" w:type="pct"/>
            <w:hideMark/>
          </w:tcPr>
          <w:p w14:paraId="66C622D1" w14:textId="77777777" w:rsidR="00931F10" w:rsidRPr="00D77DA8" w:rsidRDefault="00931F10" w:rsidP="00C83E0B">
            <w:pPr>
              <w:pStyle w:val="DHHStabletext9pt"/>
            </w:pPr>
            <w:r w:rsidRPr="00D77DA8">
              <w:t>Borough of Queenscliffe</w:t>
            </w:r>
          </w:p>
        </w:tc>
        <w:tc>
          <w:tcPr>
            <w:tcW w:w="2209" w:type="pct"/>
            <w:hideMark/>
          </w:tcPr>
          <w:p w14:paraId="5A32AC94" w14:textId="77777777" w:rsidR="00931F10" w:rsidRPr="00D77DA8" w:rsidRDefault="00931F10" w:rsidP="00C83E0B">
            <w:pPr>
              <w:pStyle w:val="DHHStabletext9pt"/>
              <w:rPr>
                <w:color w:val="000000"/>
              </w:rPr>
            </w:pPr>
            <w:r w:rsidRPr="00D77DA8">
              <w:rPr>
                <w:color w:val="000000"/>
              </w:rPr>
              <w:t>Point Lonsdale; Queenscliff; Swan Island</w:t>
            </w:r>
          </w:p>
        </w:tc>
        <w:tc>
          <w:tcPr>
            <w:tcW w:w="328" w:type="pct"/>
            <w:hideMark/>
          </w:tcPr>
          <w:p w14:paraId="65137EE2" w14:textId="77777777" w:rsidR="00931F10" w:rsidRPr="00D77DA8" w:rsidRDefault="00931F10" w:rsidP="00C83E0B">
            <w:pPr>
              <w:pStyle w:val="DHHStabletext9pt"/>
              <w:rPr>
                <w:color w:val="000000"/>
              </w:rPr>
            </w:pPr>
            <w:r w:rsidRPr="00D77DA8">
              <w:rPr>
                <w:color w:val="000000"/>
              </w:rPr>
              <w:t>Barwon</w:t>
            </w:r>
          </w:p>
        </w:tc>
        <w:tc>
          <w:tcPr>
            <w:tcW w:w="321" w:type="pct"/>
            <w:hideMark/>
          </w:tcPr>
          <w:p w14:paraId="37F78B21"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2EA14176" w14:textId="77777777" w:rsidR="00931F10" w:rsidRPr="00D77DA8" w:rsidRDefault="00931F10" w:rsidP="00C83E0B">
            <w:pPr>
              <w:pStyle w:val="DHHStabletext9pt"/>
              <w:rPr>
                <w:color w:val="000000"/>
              </w:rPr>
            </w:pPr>
            <w:r w:rsidRPr="00D77DA8">
              <w:rPr>
                <w:color w:val="000000"/>
              </w:rPr>
              <w:t>Barwon</w:t>
            </w:r>
          </w:p>
        </w:tc>
        <w:tc>
          <w:tcPr>
            <w:tcW w:w="330" w:type="pct"/>
            <w:hideMark/>
          </w:tcPr>
          <w:p w14:paraId="7B5928DA" w14:textId="77777777" w:rsidR="00931F10" w:rsidRPr="00D77DA8" w:rsidRDefault="00931F10" w:rsidP="00C83E0B">
            <w:pPr>
              <w:pStyle w:val="DHHStabletext9pt"/>
              <w:rPr>
                <w:color w:val="000000"/>
              </w:rPr>
            </w:pPr>
            <w:r w:rsidRPr="00D77DA8">
              <w:rPr>
                <w:color w:val="000000"/>
              </w:rPr>
              <w:t>Barwon Health</w:t>
            </w:r>
          </w:p>
        </w:tc>
        <w:tc>
          <w:tcPr>
            <w:tcW w:w="301" w:type="pct"/>
            <w:hideMark/>
          </w:tcPr>
          <w:p w14:paraId="26811CFF"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42422865"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7F1488A6" w14:textId="77777777" w:rsidR="00931F10" w:rsidRPr="00D77DA8" w:rsidRDefault="00931F10" w:rsidP="00C83E0B">
            <w:pPr>
              <w:pStyle w:val="DHHStabletext9pt"/>
              <w:rPr>
                <w:color w:val="000000"/>
              </w:rPr>
            </w:pPr>
            <w:r w:rsidRPr="00D77DA8">
              <w:rPr>
                <w:color w:val="000000"/>
              </w:rPr>
              <w:t>Yes</w:t>
            </w:r>
          </w:p>
        </w:tc>
      </w:tr>
      <w:tr w:rsidR="00C83E0B" w:rsidRPr="003A1EF9" w14:paraId="090B57AD" w14:textId="77777777" w:rsidTr="00856F51">
        <w:trPr>
          <w:trHeight w:val="841"/>
        </w:trPr>
        <w:tc>
          <w:tcPr>
            <w:tcW w:w="383" w:type="pct"/>
            <w:hideMark/>
          </w:tcPr>
          <w:p w14:paraId="7D61C3B7" w14:textId="77777777" w:rsidR="00931F10" w:rsidRPr="00D77DA8" w:rsidRDefault="00931F10" w:rsidP="00C83E0B">
            <w:pPr>
              <w:pStyle w:val="DHHStabletext9pt"/>
            </w:pPr>
            <w:r w:rsidRPr="00D77DA8">
              <w:t>Brimbank City</w:t>
            </w:r>
          </w:p>
        </w:tc>
        <w:tc>
          <w:tcPr>
            <w:tcW w:w="2209" w:type="pct"/>
            <w:hideMark/>
          </w:tcPr>
          <w:p w14:paraId="2A9E2D48" w14:textId="77777777" w:rsidR="00931F10" w:rsidRPr="00D77DA8" w:rsidRDefault="00931F10" w:rsidP="00C83E0B">
            <w:pPr>
              <w:pStyle w:val="DHHStabletext9pt"/>
              <w:rPr>
                <w:color w:val="000000"/>
              </w:rPr>
            </w:pPr>
            <w:r w:rsidRPr="00D77DA8">
              <w:rPr>
                <w:color w:val="000000"/>
              </w:rPr>
              <w:t>Albanvale; Albion; Ardeer; Brooklyn; Cairnlea; Calder Park; Deer Park; Delahey; Derrimut; Hillside (Melton); Kealba; Keilor; Keilor Downs; Keilor East; Keilor Lodge; Keilor North; Keilor Park; Kings Park; St Albans; Sunshine; Sunshine North; Sunshine West; Sydenham; Taylors Lakes; Tullamarine</w:t>
            </w:r>
          </w:p>
        </w:tc>
        <w:tc>
          <w:tcPr>
            <w:tcW w:w="328" w:type="pct"/>
            <w:hideMark/>
          </w:tcPr>
          <w:p w14:paraId="113BE8EB" w14:textId="77777777" w:rsidR="00931F10" w:rsidRPr="00D77DA8" w:rsidRDefault="00931F10" w:rsidP="00C83E0B">
            <w:pPr>
              <w:pStyle w:val="DHHStabletext9pt"/>
              <w:rPr>
                <w:color w:val="000000"/>
              </w:rPr>
            </w:pPr>
            <w:r w:rsidRPr="00D77DA8">
              <w:rPr>
                <w:color w:val="000000"/>
              </w:rPr>
              <w:t>Brimbank Melton</w:t>
            </w:r>
          </w:p>
        </w:tc>
        <w:tc>
          <w:tcPr>
            <w:tcW w:w="321" w:type="pct"/>
            <w:hideMark/>
          </w:tcPr>
          <w:p w14:paraId="426336F8"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73409963" w14:textId="77777777" w:rsidR="00931F10" w:rsidRPr="00D77DA8" w:rsidRDefault="00931F10" w:rsidP="00C83E0B">
            <w:pPr>
              <w:pStyle w:val="DHHStabletext9pt"/>
              <w:rPr>
                <w:color w:val="000000"/>
              </w:rPr>
            </w:pPr>
            <w:r w:rsidRPr="00D77DA8">
              <w:rPr>
                <w:color w:val="000000"/>
              </w:rPr>
              <w:t>Brimbank Melton</w:t>
            </w:r>
          </w:p>
        </w:tc>
        <w:tc>
          <w:tcPr>
            <w:tcW w:w="330" w:type="pct"/>
            <w:hideMark/>
          </w:tcPr>
          <w:p w14:paraId="10496E3E" w14:textId="77777777" w:rsidR="00931F10" w:rsidRPr="00D77DA8" w:rsidRDefault="00931F10" w:rsidP="00C83E0B">
            <w:pPr>
              <w:pStyle w:val="DHHStabletext9pt"/>
              <w:rPr>
                <w:color w:val="000000"/>
              </w:rPr>
            </w:pPr>
            <w:r w:rsidRPr="00B375CE">
              <w:rPr>
                <w:color w:val="000000"/>
              </w:rPr>
              <w:t>IPC Health</w:t>
            </w:r>
          </w:p>
        </w:tc>
        <w:tc>
          <w:tcPr>
            <w:tcW w:w="301" w:type="pct"/>
            <w:hideMark/>
          </w:tcPr>
          <w:p w14:paraId="6C16FCFD" w14:textId="77777777" w:rsidR="00931F10" w:rsidRPr="00D77DA8" w:rsidRDefault="00931F10" w:rsidP="00C83E0B">
            <w:pPr>
              <w:pStyle w:val="DHHStabletext9pt"/>
              <w:rPr>
                <w:color w:val="000000"/>
              </w:rPr>
            </w:pPr>
            <w:r w:rsidRPr="00D77DA8">
              <w:rPr>
                <w:color w:val="000000"/>
              </w:rPr>
              <w:t>WEPHU</w:t>
            </w:r>
          </w:p>
        </w:tc>
        <w:tc>
          <w:tcPr>
            <w:tcW w:w="410" w:type="pct"/>
            <w:hideMark/>
          </w:tcPr>
          <w:p w14:paraId="48F46627" w14:textId="77777777" w:rsidR="00931F10" w:rsidRPr="00D77DA8" w:rsidRDefault="00931F10" w:rsidP="00C83E0B">
            <w:pPr>
              <w:pStyle w:val="DHHStabletext9pt"/>
              <w:rPr>
                <w:color w:val="000000"/>
              </w:rPr>
            </w:pPr>
            <w:r w:rsidRPr="00D77DA8">
              <w:rPr>
                <w:color w:val="000000"/>
              </w:rPr>
              <w:t>West Metro - Lead - Melbourne Health</w:t>
            </w:r>
          </w:p>
        </w:tc>
        <w:tc>
          <w:tcPr>
            <w:tcW w:w="373" w:type="pct"/>
            <w:hideMark/>
          </w:tcPr>
          <w:p w14:paraId="62FFC3E7" w14:textId="77777777" w:rsidR="00931F10" w:rsidRPr="00D77DA8" w:rsidRDefault="00931F10" w:rsidP="00C83E0B">
            <w:pPr>
              <w:pStyle w:val="DHHStabletext9pt"/>
              <w:rPr>
                <w:color w:val="000000"/>
              </w:rPr>
            </w:pPr>
            <w:r w:rsidRPr="00D77DA8">
              <w:rPr>
                <w:color w:val="000000"/>
              </w:rPr>
              <w:t>Yes</w:t>
            </w:r>
          </w:p>
        </w:tc>
      </w:tr>
      <w:tr w:rsidR="00C83E0B" w:rsidRPr="003A1EF9" w14:paraId="666067E6" w14:textId="77777777" w:rsidTr="00856F51">
        <w:trPr>
          <w:trHeight w:val="2369"/>
        </w:trPr>
        <w:tc>
          <w:tcPr>
            <w:tcW w:w="383" w:type="pct"/>
            <w:hideMark/>
          </w:tcPr>
          <w:p w14:paraId="132F4AC3" w14:textId="77777777" w:rsidR="00931F10" w:rsidRPr="00D77DA8" w:rsidRDefault="00931F10" w:rsidP="00C83E0B">
            <w:pPr>
              <w:pStyle w:val="DHHStabletext9pt"/>
            </w:pPr>
            <w:r w:rsidRPr="00D77DA8">
              <w:lastRenderedPageBreak/>
              <w:t>Buloke Shire</w:t>
            </w:r>
          </w:p>
        </w:tc>
        <w:tc>
          <w:tcPr>
            <w:tcW w:w="2209" w:type="pct"/>
            <w:hideMark/>
          </w:tcPr>
          <w:p w14:paraId="1853D630" w14:textId="77777777" w:rsidR="00931F10" w:rsidRPr="00D77DA8" w:rsidRDefault="00931F10" w:rsidP="00C83E0B">
            <w:pPr>
              <w:pStyle w:val="DHHStabletext9pt"/>
              <w:rPr>
                <w:color w:val="000000"/>
              </w:rPr>
            </w:pPr>
            <w:r w:rsidRPr="00D77DA8">
              <w:rPr>
                <w:color w:val="000000"/>
              </w:rPr>
              <w:t>Ballapur; Banyan; Barrakee; Berriwillock; Bimbourie; Birchip; Birchip West; Boigbeat; Buckrabanyule; Bunguluke; Carron; Charlton; Chirrip; Cokum; Coonooer Bridge; Cope Cope; Corack; Corack East; Culgoa; Curyo; Donald; Dooboobetic; Dumosa; Gil Gil; Glenloth; Glenloth East; Granite Flat; Jeffcott; Jeffcott North; Jeruk; Jil Jil; Kalpienung; Karyrie; Kinnabulla; Laen; Laen East; Laen North; Lake Marmal; Lake Tyrrell; Lawler; Litchfield; Marlbed; Massey; Morton Plains; Myall (Sea Lake); Nandaly; Nareewillock; Narraport; Ninda; Nine Mile; Nullawil; Nyarrin; Pier Milan; Reedy Dam; Rich Avon; Richmond Plains; Sea Lake; Springfield (Swan Hill); Straten; Sutton; Teddywaddy; Teddywaddy West; Terrappee; Thalia; Tittybong; Towaninny; Towaninny South; Turriff East; Tyenna; Tyrrell; Tyrrell Downs; Wangie; Warmur; Warne; Watchem; Watchem West; Watchupga; Whirily; Wilkur; Willangie; Wooroonook; Woosang; Wycheproof; Wycheproof South; Yawong Hills; Yeungroon; Yeungroon East;</w:t>
            </w:r>
          </w:p>
        </w:tc>
        <w:tc>
          <w:tcPr>
            <w:tcW w:w="328" w:type="pct"/>
            <w:hideMark/>
          </w:tcPr>
          <w:p w14:paraId="634C9D84" w14:textId="77777777" w:rsidR="00931F10" w:rsidRPr="00D77DA8" w:rsidRDefault="00931F10" w:rsidP="00C83E0B">
            <w:pPr>
              <w:pStyle w:val="DHHStabletext9pt"/>
              <w:rPr>
                <w:color w:val="000000"/>
              </w:rPr>
            </w:pPr>
            <w:r w:rsidRPr="00D77DA8">
              <w:rPr>
                <w:color w:val="000000"/>
              </w:rPr>
              <w:t>Mallee</w:t>
            </w:r>
          </w:p>
        </w:tc>
        <w:tc>
          <w:tcPr>
            <w:tcW w:w="321" w:type="pct"/>
            <w:hideMark/>
          </w:tcPr>
          <w:p w14:paraId="0D43C5FF"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7C0F7078" w14:textId="77777777" w:rsidR="00931F10" w:rsidRPr="00D77DA8" w:rsidRDefault="00931F10" w:rsidP="00C83E0B">
            <w:pPr>
              <w:pStyle w:val="DHHStabletext9pt"/>
              <w:rPr>
                <w:color w:val="000000"/>
              </w:rPr>
            </w:pPr>
            <w:r w:rsidRPr="00D77DA8">
              <w:rPr>
                <w:color w:val="000000"/>
              </w:rPr>
              <w:t>Southern Mallee</w:t>
            </w:r>
          </w:p>
        </w:tc>
        <w:tc>
          <w:tcPr>
            <w:tcW w:w="330" w:type="pct"/>
            <w:hideMark/>
          </w:tcPr>
          <w:p w14:paraId="775AAB91" w14:textId="77777777" w:rsidR="00931F10" w:rsidRPr="00D77DA8" w:rsidRDefault="00931F10" w:rsidP="00C83E0B">
            <w:pPr>
              <w:pStyle w:val="DHHStabletext9pt"/>
              <w:rPr>
                <w:color w:val="000000"/>
              </w:rPr>
            </w:pPr>
            <w:r w:rsidRPr="00E276B6">
              <w:rPr>
                <w:color w:val="000000"/>
              </w:rPr>
              <w:t>Swan Hill District Health</w:t>
            </w:r>
          </w:p>
        </w:tc>
        <w:tc>
          <w:tcPr>
            <w:tcW w:w="301" w:type="pct"/>
            <w:hideMark/>
          </w:tcPr>
          <w:p w14:paraId="6C74E32B"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5B3BCE73"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206BE5ED" w14:textId="77777777" w:rsidR="00931F10" w:rsidRPr="00D77DA8" w:rsidRDefault="00931F10" w:rsidP="00C83E0B">
            <w:pPr>
              <w:pStyle w:val="DHHStabletext9pt"/>
              <w:rPr>
                <w:color w:val="000000"/>
              </w:rPr>
            </w:pPr>
            <w:r w:rsidRPr="00D77DA8">
              <w:rPr>
                <w:color w:val="000000"/>
              </w:rPr>
              <w:t>Yes</w:t>
            </w:r>
          </w:p>
        </w:tc>
      </w:tr>
      <w:tr w:rsidR="00C83E0B" w:rsidRPr="003A1EF9" w14:paraId="28EB9727" w14:textId="77777777" w:rsidTr="00856F51">
        <w:trPr>
          <w:trHeight w:val="1524"/>
        </w:trPr>
        <w:tc>
          <w:tcPr>
            <w:tcW w:w="383" w:type="pct"/>
            <w:hideMark/>
          </w:tcPr>
          <w:p w14:paraId="1B7EC23E" w14:textId="77777777" w:rsidR="00931F10" w:rsidRPr="00D77DA8" w:rsidRDefault="00931F10" w:rsidP="00C83E0B">
            <w:pPr>
              <w:pStyle w:val="DHHStabletext9pt"/>
            </w:pPr>
            <w:r w:rsidRPr="00D77DA8">
              <w:t>Campaspe Shire</w:t>
            </w:r>
          </w:p>
        </w:tc>
        <w:tc>
          <w:tcPr>
            <w:tcW w:w="2209" w:type="pct"/>
            <w:hideMark/>
          </w:tcPr>
          <w:p w14:paraId="68EE7646" w14:textId="77777777" w:rsidR="00931F10" w:rsidRPr="00D77DA8" w:rsidRDefault="00931F10" w:rsidP="00C83E0B">
            <w:pPr>
              <w:pStyle w:val="DHHStabletext9pt"/>
              <w:rPr>
                <w:color w:val="000000"/>
              </w:rPr>
            </w:pPr>
            <w:r w:rsidRPr="00D77DA8">
              <w:rPr>
                <w:color w:val="000000"/>
              </w:rPr>
              <w:t>Ballendella; Bamawm; Bamawm Extension; Bonn; Burnewang; Burramboot; Carag Carag; Colbinabbin; Cornella; Corop; Diggora; Echuca; Echuca Village; Echuca West; Fairy Dell (Campaspe); Girgarre; Gobarup; Gunbower; Kanyapella; Kotta; Koyuga; Kyabram; Kyvalley; Lancaster; Lockington; Milloo; Mitiamo; Moora; Muskerry; Myola; Nanneella; Patho; Pine Grove; Redcastle; Rochester; Roslynmead; Runnymede; Rushworth; Stanhope; Strathallan; Tennyson; Terrick Terrick East; Timmering; Tongala; Toolleen; Torrumbarry; Wanalta; Waranga Shores; Wharparilla; Whroo; Wyuna; Wyuna East; Yambuna;</w:t>
            </w:r>
          </w:p>
        </w:tc>
        <w:tc>
          <w:tcPr>
            <w:tcW w:w="328" w:type="pct"/>
            <w:hideMark/>
          </w:tcPr>
          <w:p w14:paraId="1F3C4CA6" w14:textId="77777777" w:rsidR="00931F10" w:rsidRPr="00D77DA8" w:rsidRDefault="00931F10" w:rsidP="00C83E0B">
            <w:pPr>
              <w:pStyle w:val="DHHStabletext9pt"/>
              <w:rPr>
                <w:color w:val="000000"/>
              </w:rPr>
            </w:pPr>
            <w:r w:rsidRPr="00D77DA8">
              <w:rPr>
                <w:color w:val="000000"/>
              </w:rPr>
              <w:t>Loddon</w:t>
            </w:r>
          </w:p>
        </w:tc>
        <w:tc>
          <w:tcPr>
            <w:tcW w:w="321" w:type="pct"/>
            <w:hideMark/>
          </w:tcPr>
          <w:p w14:paraId="67554163"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4CBA5EF0" w14:textId="77777777" w:rsidR="00931F10" w:rsidRPr="00D77DA8" w:rsidRDefault="00931F10" w:rsidP="00C83E0B">
            <w:pPr>
              <w:pStyle w:val="DHHStabletext9pt"/>
              <w:rPr>
                <w:color w:val="000000"/>
              </w:rPr>
            </w:pPr>
            <w:r w:rsidRPr="00D77DA8">
              <w:rPr>
                <w:color w:val="000000"/>
              </w:rPr>
              <w:t>Loddon</w:t>
            </w:r>
          </w:p>
        </w:tc>
        <w:tc>
          <w:tcPr>
            <w:tcW w:w="330" w:type="pct"/>
            <w:hideMark/>
          </w:tcPr>
          <w:p w14:paraId="24D8ED37" w14:textId="77777777" w:rsidR="00931F10" w:rsidRPr="00D77DA8" w:rsidRDefault="00931F10" w:rsidP="00C83E0B">
            <w:pPr>
              <w:pStyle w:val="DHHStabletext9pt"/>
              <w:rPr>
                <w:color w:val="000000"/>
              </w:rPr>
            </w:pPr>
            <w:r w:rsidRPr="00E276B6">
              <w:rPr>
                <w:color w:val="000000"/>
              </w:rPr>
              <w:t>Bendigo Community Health Service</w:t>
            </w:r>
          </w:p>
        </w:tc>
        <w:tc>
          <w:tcPr>
            <w:tcW w:w="301" w:type="pct"/>
            <w:hideMark/>
          </w:tcPr>
          <w:p w14:paraId="31110A28" w14:textId="77777777" w:rsidR="00931F10" w:rsidRPr="00D77DA8" w:rsidRDefault="00931F10" w:rsidP="00C83E0B">
            <w:pPr>
              <w:pStyle w:val="DHHStabletext9pt"/>
              <w:rPr>
                <w:color w:val="000000"/>
              </w:rPr>
            </w:pPr>
            <w:r w:rsidRPr="00D77DA8">
              <w:rPr>
                <w:color w:val="000000"/>
              </w:rPr>
              <w:t>Goulburn Health</w:t>
            </w:r>
          </w:p>
        </w:tc>
        <w:tc>
          <w:tcPr>
            <w:tcW w:w="410" w:type="pct"/>
            <w:hideMark/>
          </w:tcPr>
          <w:p w14:paraId="75BF7CB1" w14:textId="77777777" w:rsidR="00931F10" w:rsidRPr="00D77DA8" w:rsidRDefault="00931F10" w:rsidP="00C83E0B">
            <w:pPr>
              <w:pStyle w:val="DHHStabletext9pt"/>
              <w:rPr>
                <w:color w:val="000000"/>
              </w:rPr>
            </w:pPr>
            <w:r w:rsidRPr="00D77DA8">
              <w:rPr>
                <w:color w:val="000000"/>
              </w:rPr>
              <w:t>Loddon Mallee - Bendigo Health</w:t>
            </w:r>
          </w:p>
        </w:tc>
        <w:tc>
          <w:tcPr>
            <w:tcW w:w="373" w:type="pct"/>
            <w:hideMark/>
          </w:tcPr>
          <w:p w14:paraId="4E1F7C2D" w14:textId="77777777" w:rsidR="00931F10" w:rsidRPr="00D77DA8" w:rsidRDefault="00931F10" w:rsidP="00C83E0B">
            <w:pPr>
              <w:pStyle w:val="DHHStabletext9pt"/>
              <w:rPr>
                <w:color w:val="000000"/>
              </w:rPr>
            </w:pPr>
            <w:r w:rsidRPr="00D77DA8">
              <w:rPr>
                <w:color w:val="000000"/>
              </w:rPr>
              <w:t>Yes</w:t>
            </w:r>
          </w:p>
        </w:tc>
      </w:tr>
      <w:tr w:rsidR="00C83E0B" w:rsidRPr="003A1EF9" w14:paraId="29AFA334" w14:textId="77777777" w:rsidTr="00856F51">
        <w:trPr>
          <w:trHeight w:val="767"/>
        </w:trPr>
        <w:tc>
          <w:tcPr>
            <w:tcW w:w="383" w:type="pct"/>
            <w:shd w:val="clear" w:color="auto" w:fill="auto"/>
            <w:hideMark/>
          </w:tcPr>
          <w:p w14:paraId="71126D9C" w14:textId="77777777" w:rsidR="00931F10" w:rsidRPr="00D77DA8" w:rsidRDefault="00931F10" w:rsidP="00C83E0B">
            <w:pPr>
              <w:pStyle w:val="DHHStabletext9pt"/>
            </w:pPr>
            <w:r w:rsidRPr="00D77DA8">
              <w:t>Cardinia Shire</w:t>
            </w:r>
          </w:p>
        </w:tc>
        <w:tc>
          <w:tcPr>
            <w:tcW w:w="2209" w:type="pct"/>
            <w:shd w:val="clear" w:color="auto" w:fill="auto"/>
            <w:hideMark/>
          </w:tcPr>
          <w:p w14:paraId="6B03ED95" w14:textId="77777777" w:rsidR="00931F10" w:rsidRPr="00D77DA8" w:rsidRDefault="00931F10" w:rsidP="00C83E0B">
            <w:pPr>
              <w:pStyle w:val="DHHStabletext9pt"/>
              <w:rPr>
                <w:color w:val="000000"/>
              </w:rPr>
            </w:pPr>
            <w:r w:rsidRPr="00D77DA8">
              <w:rPr>
                <w:color w:val="000000"/>
              </w:rPr>
              <w:t>Avonsleigh, Menzies Creek</w:t>
            </w:r>
          </w:p>
        </w:tc>
        <w:tc>
          <w:tcPr>
            <w:tcW w:w="328" w:type="pct"/>
            <w:shd w:val="clear" w:color="auto" w:fill="auto"/>
            <w:hideMark/>
          </w:tcPr>
          <w:p w14:paraId="10BE6D56" w14:textId="77777777" w:rsidR="00931F10" w:rsidRPr="00D77DA8" w:rsidRDefault="00931F10" w:rsidP="00C83E0B">
            <w:pPr>
              <w:pStyle w:val="DHHStabletext9pt"/>
              <w:rPr>
                <w:color w:val="000000"/>
              </w:rPr>
            </w:pPr>
            <w:r w:rsidRPr="00D77DA8">
              <w:rPr>
                <w:color w:val="000000"/>
              </w:rPr>
              <w:t>Southern Melbourne Area (SMA)</w:t>
            </w:r>
          </w:p>
        </w:tc>
        <w:tc>
          <w:tcPr>
            <w:tcW w:w="321" w:type="pct"/>
            <w:shd w:val="clear" w:color="auto" w:fill="auto"/>
            <w:hideMark/>
          </w:tcPr>
          <w:p w14:paraId="7475279F" w14:textId="77777777" w:rsidR="00931F10" w:rsidRPr="00D77DA8" w:rsidRDefault="00931F10" w:rsidP="00C83E0B">
            <w:pPr>
              <w:pStyle w:val="DHHStabletext9pt"/>
              <w:rPr>
                <w:color w:val="000000"/>
              </w:rPr>
            </w:pPr>
            <w:r w:rsidRPr="00D77DA8">
              <w:rPr>
                <w:color w:val="000000"/>
              </w:rPr>
              <w:t>South</w:t>
            </w:r>
          </w:p>
        </w:tc>
        <w:tc>
          <w:tcPr>
            <w:tcW w:w="345" w:type="pct"/>
            <w:shd w:val="clear" w:color="auto" w:fill="auto"/>
            <w:hideMark/>
          </w:tcPr>
          <w:p w14:paraId="4D7E057B" w14:textId="77777777" w:rsidR="00931F10" w:rsidRPr="00D77DA8" w:rsidRDefault="00931F10" w:rsidP="00C83E0B">
            <w:pPr>
              <w:pStyle w:val="DHHStabletext9pt"/>
              <w:rPr>
                <w:color w:val="000000"/>
              </w:rPr>
            </w:pPr>
            <w:r w:rsidRPr="00D77DA8">
              <w:rPr>
                <w:color w:val="000000"/>
              </w:rPr>
              <w:t>Southern Melbourne (EACH)</w:t>
            </w:r>
          </w:p>
        </w:tc>
        <w:tc>
          <w:tcPr>
            <w:tcW w:w="330" w:type="pct"/>
            <w:shd w:val="clear" w:color="auto" w:fill="auto"/>
            <w:hideMark/>
          </w:tcPr>
          <w:p w14:paraId="76A5304C" w14:textId="77777777" w:rsidR="00931F10" w:rsidRPr="00D77DA8" w:rsidRDefault="00931F10" w:rsidP="00C83E0B">
            <w:pPr>
              <w:pStyle w:val="DHHStabletext9pt"/>
              <w:rPr>
                <w:color w:val="000000"/>
              </w:rPr>
            </w:pPr>
            <w:r w:rsidRPr="00190249">
              <w:rPr>
                <w:color w:val="000000"/>
              </w:rPr>
              <w:t>EACH</w:t>
            </w:r>
          </w:p>
        </w:tc>
        <w:tc>
          <w:tcPr>
            <w:tcW w:w="301" w:type="pct"/>
            <w:shd w:val="clear" w:color="auto" w:fill="auto"/>
            <w:hideMark/>
          </w:tcPr>
          <w:p w14:paraId="3A3AD40A" w14:textId="77777777" w:rsidR="00931F10" w:rsidRPr="00D77DA8" w:rsidRDefault="00931F10" w:rsidP="00C83E0B">
            <w:pPr>
              <w:pStyle w:val="DHHStabletext9pt"/>
              <w:rPr>
                <w:color w:val="000000"/>
              </w:rPr>
            </w:pPr>
            <w:r w:rsidRPr="00D77DA8">
              <w:rPr>
                <w:color w:val="000000"/>
              </w:rPr>
              <w:t>NEPHU</w:t>
            </w:r>
          </w:p>
        </w:tc>
        <w:tc>
          <w:tcPr>
            <w:tcW w:w="410" w:type="pct"/>
            <w:shd w:val="clear" w:color="auto" w:fill="auto"/>
            <w:hideMark/>
          </w:tcPr>
          <w:p w14:paraId="7DE543FE"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shd w:val="clear" w:color="auto" w:fill="auto"/>
            <w:hideMark/>
          </w:tcPr>
          <w:p w14:paraId="5F6E6899" w14:textId="77777777" w:rsidR="00931F10" w:rsidRPr="00D77DA8" w:rsidRDefault="00931F10" w:rsidP="00C83E0B">
            <w:pPr>
              <w:pStyle w:val="DHHStabletext9pt"/>
              <w:rPr>
                <w:color w:val="000000"/>
              </w:rPr>
            </w:pPr>
            <w:r w:rsidRPr="00D77DA8">
              <w:rPr>
                <w:color w:val="000000"/>
              </w:rPr>
              <w:t>Yes</w:t>
            </w:r>
          </w:p>
        </w:tc>
      </w:tr>
      <w:tr w:rsidR="00C83E0B" w:rsidRPr="003A1EF9" w14:paraId="32DB4F11" w14:textId="77777777" w:rsidTr="00856F51">
        <w:trPr>
          <w:trHeight w:val="1193"/>
        </w:trPr>
        <w:tc>
          <w:tcPr>
            <w:tcW w:w="383" w:type="pct"/>
            <w:shd w:val="clear" w:color="auto" w:fill="auto"/>
            <w:hideMark/>
          </w:tcPr>
          <w:p w14:paraId="5214D1C3" w14:textId="77777777" w:rsidR="00931F10" w:rsidRPr="00D77DA8" w:rsidRDefault="00931F10" w:rsidP="00C83E0B">
            <w:pPr>
              <w:pStyle w:val="DHHStabletext9pt"/>
            </w:pPr>
            <w:r w:rsidRPr="00D77DA8">
              <w:t>Cardinia Shire</w:t>
            </w:r>
          </w:p>
        </w:tc>
        <w:tc>
          <w:tcPr>
            <w:tcW w:w="2209" w:type="pct"/>
            <w:shd w:val="clear" w:color="auto" w:fill="auto"/>
            <w:hideMark/>
          </w:tcPr>
          <w:p w14:paraId="03C017CF" w14:textId="77777777" w:rsidR="00931F10" w:rsidRPr="00D77DA8" w:rsidRDefault="00931F10" w:rsidP="00C83E0B">
            <w:pPr>
              <w:pStyle w:val="DHHStabletext9pt"/>
              <w:rPr>
                <w:color w:val="000000"/>
              </w:rPr>
            </w:pPr>
            <w:r w:rsidRPr="00D77DA8">
              <w:rPr>
                <w:color w:val="000000"/>
              </w:rPr>
              <w:t>Bayles, Beaconsfield, Beaconsfield Upper, Bunyip, Bunyip North, Caldermeade, Cardinia, Catani, Clematis, Cockatoo, Cora Lynn, Dalmore, Dewhurst, Emerald, Garfield, Garfield North, Gembrook, Guys Hill, Heath Hill, Iona, Koo Wee Rup, Koo Wee Rup North, Lang Lang, Lang Lang East, Longwarry, Maryknoll, Modella, Monomeith, Mount Burnett, Nangana, Nar Nar Goon, Nar Nar Goon North, Nyora, Officer, Officer South, Pakenham, Pakenham South, Pakenham Upper, Rythdale, Tenby Point, Tonimbuk, Tooradin, Tynong, Tynong North, Vervale And Yannathan</w:t>
            </w:r>
          </w:p>
        </w:tc>
        <w:tc>
          <w:tcPr>
            <w:tcW w:w="328" w:type="pct"/>
            <w:shd w:val="clear" w:color="auto" w:fill="auto"/>
            <w:hideMark/>
          </w:tcPr>
          <w:p w14:paraId="7B5E1E3D" w14:textId="77777777" w:rsidR="00931F10" w:rsidRPr="00D77DA8" w:rsidRDefault="00931F10" w:rsidP="00C83E0B">
            <w:pPr>
              <w:pStyle w:val="DHHStabletext9pt"/>
              <w:rPr>
                <w:color w:val="000000"/>
              </w:rPr>
            </w:pPr>
            <w:r w:rsidRPr="00D77DA8">
              <w:rPr>
                <w:color w:val="000000"/>
              </w:rPr>
              <w:t>Southern Melbourne Area (SMA)</w:t>
            </w:r>
          </w:p>
        </w:tc>
        <w:tc>
          <w:tcPr>
            <w:tcW w:w="321" w:type="pct"/>
            <w:shd w:val="clear" w:color="auto" w:fill="auto"/>
            <w:hideMark/>
          </w:tcPr>
          <w:p w14:paraId="64BAF348" w14:textId="77777777" w:rsidR="00931F10" w:rsidRPr="00D77DA8" w:rsidRDefault="00931F10" w:rsidP="00C83E0B">
            <w:pPr>
              <w:pStyle w:val="DHHStabletext9pt"/>
              <w:rPr>
                <w:color w:val="000000"/>
              </w:rPr>
            </w:pPr>
            <w:r w:rsidRPr="00D77DA8">
              <w:rPr>
                <w:color w:val="000000"/>
              </w:rPr>
              <w:t>South</w:t>
            </w:r>
          </w:p>
        </w:tc>
        <w:tc>
          <w:tcPr>
            <w:tcW w:w="345" w:type="pct"/>
            <w:shd w:val="clear" w:color="auto" w:fill="auto"/>
            <w:hideMark/>
          </w:tcPr>
          <w:p w14:paraId="73140B5D" w14:textId="77777777" w:rsidR="00931F10" w:rsidRPr="00D77DA8" w:rsidRDefault="00931F10" w:rsidP="00C83E0B">
            <w:pPr>
              <w:pStyle w:val="DHHStabletext9pt"/>
              <w:rPr>
                <w:color w:val="444444"/>
              </w:rPr>
            </w:pPr>
            <w:r w:rsidRPr="00D77DA8">
              <w:rPr>
                <w:color w:val="444444"/>
              </w:rPr>
              <w:t>Southern Melbourne (EACH)</w:t>
            </w:r>
          </w:p>
        </w:tc>
        <w:tc>
          <w:tcPr>
            <w:tcW w:w="330" w:type="pct"/>
            <w:shd w:val="clear" w:color="auto" w:fill="auto"/>
            <w:hideMark/>
          </w:tcPr>
          <w:p w14:paraId="6304D270" w14:textId="77777777" w:rsidR="00931F10" w:rsidRPr="00D77DA8" w:rsidRDefault="00931F10" w:rsidP="00C83E0B">
            <w:pPr>
              <w:pStyle w:val="DHHStabletext9pt"/>
              <w:rPr>
                <w:color w:val="000000"/>
              </w:rPr>
            </w:pPr>
            <w:r w:rsidRPr="00190249">
              <w:rPr>
                <w:color w:val="000000"/>
              </w:rPr>
              <w:t>EACH</w:t>
            </w:r>
          </w:p>
        </w:tc>
        <w:tc>
          <w:tcPr>
            <w:tcW w:w="301" w:type="pct"/>
            <w:shd w:val="clear" w:color="auto" w:fill="auto"/>
            <w:hideMark/>
          </w:tcPr>
          <w:p w14:paraId="4B0A0301" w14:textId="77777777" w:rsidR="00931F10" w:rsidRPr="00D77DA8" w:rsidRDefault="00931F10" w:rsidP="00C83E0B">
            <w:pPr>
              <w:pStyle w:val="DHHStabletext9pt"/>
              <w:rPr>
                <w:color w:val="000000"/>
              </w:rPr>
            </w:pPr>
            <w:r w:rsidRPr="00D77DA8">
              <w:rPr>
                <w:color w:val="000000"/>
              </w:rPr>
              <w:t>SEPHU</w:t>
            </w:r>
          </w:p>
        </w:tc>
        <w:tc>
          <w:tcPr>
            <w:tcW w:w="410" w:type="pct"/>
            <w:shd w:val="clear" w:color="auto" w:fill="auto"/>
            <w:hideMark/>
          </w:tcPr>
          <w:p w14:paraId="5A2221EA"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shd w:val="clear" w:color="auto" w:fill="auto"/>
            <w:hideMark/>
          </w:tcPr>
          <w:p w14:paraId="6A7C0511" w14:textId="77777777" w:rsidR="00931F10" w:rsidRPr="00D77DA8" w:rsidRDefault="00931F10" w:rsidP="00C83E0B">
            <w:pPr>
              <w:pStyle w:val="DHHStabletext9pt"/>
              <w:rPr>
                <w:color w:val="000000"/>
              </w:rPr>
            </w:pPr>
            <w:r w:rsidRPr="00D77DA8">
              <w:rPr>
                <w:color w:val="000000"/>
              </w:rPr>
              <w:t>Yes</w:t>
            </w:r>
          </w:p>
        </w:tc>
      </w:tr>
      <w:tr w:rsidR="00C83E0B" w:rsidRPr="003A1EF9" w14:paraId="4E2A7EE0" w14:textId="77777777" w:rsidTr="00856F51">
        <w:trPr>
          <w:trHeight w:val="954"/>
        </w:trPr>
        <w:tc>
          <w:tcPr>
            <w:tcW w:w="383" w:type="pct"/>
            <w:hideMark/>
          </w:tcPr>
          <w:p w14:paraId="22751C9D" w14:textId="77777777" w:rsidR="00931F10" w:rsidRPr="00D77DA8" w:rsidRDefault="00931F10" w:rsidP="00C83E0B">
            <w:pPr>
              <w:pStyle w:val="DHHStabletext9pt"/>
            </w:pPr>
            <w:r w:rsidRPr="00D77DA8">
              <w:lastRenderedPageBreak/>
              <w:t>Casey City</w:t>
            </w:r>
          </w:p>
        </w:tc>
        <w:tc>
          <w:tcPr>
            <w:tcW w:w="2209" w:type="pct"/>
            <w:hideMark/>
          </w:tcPr>
          <w:p w14:paraId="01D779EC" w14:textId="7E2379E5" w:rsidR="00931F10" w:rsidRPr="00D77DA8" w:rsidRDefault="00931F10" w:rsidP="00C83E0B">
            <w:pPr>
              <w:pStyle w:val="DHHStabletext9pt"/>
              <w:rPr>
                <w:color w:val="000000"/>
              </w:rPr>
            </w:pPr>
            <w:r w:rsidRPr="00D77DA8">
              <w:rPr>
                <w:color w:val="000000"/>
              </w:rPr>
              <w:t>Beaconsfield, Berwick, Blind Bight, Cannons Creek, Clyde, Clyde North, Cranbourne, Cranbourne East, Cranbourne North, Cranbourne South, Cranbourne West, Devon Meadows, Doveton, Endeavour Hills, Eumemmerring, Fountain Gate, Hallam, Hampton Park, Harkaway, Junction Village, Lynbrook, Lyndhurst, Lysterfield South, Narre Warren, Narre Warren North, Narre Warren South, Pearcedale, Tooradin</w:t>
            </w:r>
            <w:r w:rsidR="00C83E0B">
              <w:rPr>
                <w:color w:val="000000"/>
              </w:rPr>
              <w:t>,</w:t>
            </w:r>
            <w:r w:rsidRPr="00D77DA8">
              <w:rPr>
                <w:color w:val="000000"/>
              </w:rPr>
              <w:t xml:space="preserve"> Warneet</w:t>
            </w:r>
          </w:p>
        </w:tc>
        <w:tc>
          <w:tcPr>
            <w:tcW w:w="328" w:type="pct"/>
            <w:hideMark/>
          </w:tcPr>
          <w:p w14:paraId="426CFFC4" w14:textId="77777777" w:rsidR="00931F10" w:rsidRPr="00D77DA8" w:rsidRDefault="00931F10" w:rsidP="00C83E0B">
            <w:pPr>
              <w:pStyle w:val="DHHStabletext9pt"/>
              <w:rPr>
                <w:color w:val="000000"/>
              </w:rPr>
            </w:pPr>
            <w:r w:rsidRPr="00D77DA8">
              <w:rPr>
                <w:color w:val="000000"/>
              </w:rPr>
              <w:t>Southern Melbourne Area (SMA)</w:t>
            </w:r>
          </w:p>
        </w:tc>
        <w:tc>
          <w:tcPr>
            <w:tcW w:w="321" w:type="pct"/>
            <w:hideMark/>
          </w:tcPr>
          <w:p w14:paraId="6A9CE269"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1FA6CFAE" w14:textId="77777777" w:rsidR="00931F10" w:rsidRPr="00D77DA8" w:rsidRDefault="00931F10" w:rsidP="00C83E0B">
            <w:pPr>
              <w:pStyle w:val="DHHStabletext9pt"/>
              <w:rPr>
                <w:color w:val="444444"/>
              </w:rPr>
            </w:pPr>
            <w:r w:rsidRPr="00D77DA8">
              <w:rPr>
                <w:color w:val="444444"/>
              </w:rPr>
              <w:t>Southern Melbourne (EACH)</w:t>
            </w:r>
          </w:p>
        </w:tc>
        <w:tc>
          <w:tcPr>
            <w:tcW w:w="330" w:type="pct"/>
            <w:hideMark/>
          </w:tcPr>
          <w:p w14:paraId="5D7A1183" w14:textId="77777777" w:rsidR="00931F10" w:rsidRPr="00D77DA8" w:rsidRDefault="00931F10" w:rsidP="00C83E0B">
            <w:pPr>
              <w:pStyle w:val="DHHStabletext9pt"/>
              <w:rPr>
                <w:color w:val="000000"/>
              </w:rPr>
            </w:pPr>
            <w:r w:rsidRPr="005C16D9">
              <w:rPr>
                <w:color w:val="000000"/>
              </w:rPr>
              <w:t>EACH</w:t>
            </w:r>
          </w:p>
        </w:tc>
        <w:tc>
          <w:tcPr>
            <w:tcW w:w="301" w:type="pct"/>
            <w:hideMark/>
          </w:tcPr>
          <w:p w14:paraId="2EFEBD7C"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7DB8114A"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197C3C85" w14:textId="77777777" w:rsidR="00931F10" w:rsidRPr="00D77DA8" w:rsidRDefault="00931F10" w:rsidP="00C83E0B">
            <w:pPr>
              <w:pStyle w:val="DHHStabletext9pt"/>
              <w:rPr>
                <w:color w:val="000000"/>
              </w:rPr>
            </w:pPr>
            <w:r w:rsidRPr="00D77DA8">
              <w:rPr>
                <w:color w:val="000000"/>
              </w:rPr>
              <w:t>Yes</w:t>
            </w:r>
          </w:p>
        </w:tc>
      </w:tr>
      <w:tr w:rsidR="00C83E0B" w:rsidRPr="003A1EF9" w14:paraId="31EB8C68" w14:textId="77777777" w:rsidTr="00856F51">
        <w:trPr>
          <w:trHeight w:val="1352"/>
        </w:trPr>
        <w:tc>
          <w:tcPr>
            <w:tcW w:w="383" w:type="pct"/>
            <w:hideMark/>
          </w:tcPr>
          <w:p w14:paraId="4F5238EE" w14:textId="77777777" w:rsidR="00931F10" w:rsidRPr="00D77DA8" w:rsidRDefault="00931F10" w:rsidP="00C83E0B">
            <w:pPr>
              <w:pStyle w:val="DHHStabletext9pt"/>
            </w:pPr>
            <w:r w:rsidRPr="00D77DA8">
              <w:t>Central Goldfields Shire</w:t>
            </w:r>
          </w:p>
        </w:tc>
        <w:tc>
          <w:tcPr>
            <w:tcW w:w="2209" w:type="pct"/>
            <w:hideMark/>
          </w:tcPr>
          <w:p w14:paraId="205EEF56" w14:textId="77777777" w:rsidR="00931F10" w:rsidRPr="00D77DA8" w:rsidRDefault="00931F10" w:rsidP="00C83E0B">
            <w:pPr>
              <w:pStyle w:val="DHHStabletext9pt"/>
              <w:rPr>
                <w:color w:val="000000"/>
              </w:rPr>
            </w:pPr>
            <w:r w:rsidRPr="00D77DA8">
              <w:rPr>
                <w:color w:val="000000"/>
              </w:rPr>
              <w:t>Adelaide Lead; Alma; Amherst; Archdale; Archdale Junction; Bealiba; Bet Bet; Betley; Bowenvale; Bromley; Bung Bong; Campbelltown; Caralulup; Carisbrook; Cotswold; Craigie; Daisy Hill; Dunach; Dunluce; Dunolly; Eddington; Emu; Flagstaff; Glengower; Golden Point (Maryborough); Goldsborough; Havelock; Inkerman; Joyces Creek; Lillicur; Majorca; Maryborough; Moliagul; Moolort; Moonlight Flat (Maryborough); Mount Cameron; Mount Glasgow; Mount Hooghly; Natte Yallock; Rathscar; Red Lion; Simson; Stony Creek (Central Goldfields); Strathlea; Talbot; Timor; Timor West; Wareek;</w:t>
            </w:r>
          </w:p>
        </w:tc>
        <w:tc>
          <w:tcPr>
            <w:tcW w:w="328" w:type="pct"/>
            <w:hideMark/>
          </w:tcPr>
          <w:p w14:paraId="751066CB" w14:textId="77777777" w:rsidR="00931F10" w:rsidRPr="00D77DA8" w:rsidRDefault="00931F10" w:rsidP="00C83E0B">
            <w:pPr>
              <w:pStyle w:val="DHHStabletext9pt"/>
              <w:rPr>
                <w:color w:val="000000"/>
              </w:rPr>
            </w:pPr>
            <w:r w:rsidRPr="00D77DA8">
              <w:rPr>
                <w:color w:val="000000"/>
              </w:rPr>
              <w:t>Loddon</w:t>
            </w:r>
          </w:p>
        </w:tc>
        <w:tc>
          <w:tcPr>
            <w:tcW w:w="321" w:type="pct"/>
            <w:hideMark/>
          </w:tcPr>
          <w:p w14:paraId="11446E90"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095244AF" w14:textId="77777777" w:rsidR="00931F10" w:rsidRPr="00D77DA8" w:rsidRDefault="00931F10" w:rsidP="00C83E0B">
            <w:pPr>
              <w:pStyle w:val="DHHStabletext9pt"/>
              <w:rPr>
                <w:color w:val="000000"/>
              </w:rPr>
            </w:pPr>
            <w:r w:rsidRPr="00D77DA8">
              <w:rPr>
                <w:color w:val="000000"/>
              </w:rPr>
              <w:t>Loddon</w:t>
            </w:r>
          </w:p>
        </w:tc>
        <w:tc>
          <w:tcPr>
            <w:tcW w:w="330" w:type="pct"/>
            <w:hideMark/>
          </w:tcPr>
          <w:p w14:paraId="3421B428" w14:textId="77777777" w:rsidR="00931F10" w:rsidRPr="00D77DA8" w:rsidRDefault="00931F10" w:rsidP="00C83E0B">
            <w:pPr>
              <w:pStyle w:val="DHHStabletext9pt"/>
              <w:rPr>
                <w:color w:val="000000"/>
              </w:rPr>
            </w:pPr>
            <w:r w:rsidRPr="005C16D9">
              <w:rPr>
                <w:color w:val="000000"/>
              </w:rPr>
              <w:t>Bendigo Community Health Service</w:t>
            </w:r>
          </w:p>
        </w:tc>
        <w:tc>
          <w:tcPr>
            <w:tcW w:w="301" w:type="pct"/>
            <w:hideMark/>
          </w:tcPr>
          <w:p w14:paraId="0C09406B"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59F91333"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43626C8F" w14:textId="77777777" w:rsidR="00931F10" w:rsidRPr="00D77DA8" w:rsidRDefault="00931F10" w:rsidP="00C83E0B">
            <w:pPr>
              <w:pStyle w:val="DHHStabletext9pt"/>
              <w:rPr>
                <w:color w:val="000000"/>
              </w:rPr>
            </w:pPr>
            <w:r w:rsidRPr="00D77DA8">
              <w:rPr>
                <w:color w:val="000000"/>
              </w:rPr>
              <w:t>Yes</w:t>
            </w:r>
          </w:p>
        </w:tc>
      </w:tr>
      <w:tr w:rsidR="00C83E0B" w:rsidRPr="003A1EF9" w14:paraId="304339F8" w14:textId="77777777" w:rsidTr="00856F51">
        <w:trPr>
          <w:trHeight w:val="2349"/>
        </w:trPr>
        <w:tc>
          <w:tcPr>
            <w:tcW w:w="383" w:type="pct"/>
            <w:hideMark/>
          </w:tcPr>
          <w:p w14:paraId="34763F2F" w14:textId="77777777" w:rsidR="00931F10" w:rsidRPr="00D77DA8" w:rsidRDefault="00931F10" w:rsidP="00C83E0B">
            <w:pPr>
              <w:pStyle w:val="DHHStabletext9pt"/>
            </w:pPr>
            <w:r w:rsidRPr="00D77DA8">
              <w:t>Colac Otway Shire</w:t>
            </w:r>
          </w:p>
        </w:tc>
        <w:tc>
          <w:tcPr>
            <w:tcW w:w="2209" w:type="pct"/>
            <w:hideMark/>
          </w:tcPr>
          <w:p w14:paraId="3762B9E7" w14:textId="77777777" w:rsidR="00931F10" w:rsidRPr="00D77DA8" w:rsidRDefault="00931F10" w:rsidP="00C83E0B">
            <w:pPr>
              <w:pStyle w:val="DHHStabletext9pt"/>
              <w:rPr>
                <w:color w:val="000000"/>
              </w:rPr>
            </w:pPr>
            <w:r w:rsidRPr="00D77DA8">
              <w:rPr>
                <w:color w:val="000000"/>
              </w:rPr>
              <w:t>Aire Valley; Alvie; Apollo Bay; Balintore; Barongarook; Barongarook West; Barramunga; Barunah Plains; Barwon Downs; Beeac; Beech Forest; Birregurra; Bungador; Cape Otway; Carlisle River; Carpendeit; Chapple Vale; Colac; Colac East; Colac West; Coragulac; Cororooke; Corunnun; Cressy; Cundare; Cundare North; Dreeite; Dreeite South; Elliminyt; Eurack; Ferguson; Forrest; Gellibrand; Gellibrand Lower; Gerangamete; Glenaire; Grey River; Hordern Vale; Irrewarra; Irrewillipe; Irrewillipe East; Jancourt East; Johanna; Kawarren; Kennett River; Larpent; Lavers Hill; Marengo; Mount Sabine; Murroon; Nalangil; Ombersley; Ondit; Pennyroyal; Petticoat Creek; Pirron Yallock; Separation Creek; Simpson; Skenes Creek; Skenes Creek North; Stonyford; Sugarloaf; Swan Marsh; Tanybryn; Warncoort; Warrion; Weeaproinah; Weering; Whoorel; Winchelsea; Wingeel; Wongarra; Wool Wool; Wye River; Wyelangta; Yeo; Yeodene; Yuulong</w:t>
            </w:r>
          </w:p>
        </w:tc>
        <w:tc>
          <w:tcPr>
            <w:tcW w:w="328" w:type="pct"/>
            <w:hideMark/>
          </w:tcPr>
          <w:p w14:paraId="6182A5DD" w14:textId="77777777" w:rsidR="00931F10" w:rsidRPr="00D77DA8" w:rsidRDefault="00931F10" w:rsidP="00C83E0B">
            <w:pPr>
              <w:pStyle w:val="DHHStabletext9pt"/>
              <w:rPr>
                <w:color w:val="000000"/>
              </w:rPr>
            </w:pPr>
            <w:r w:rsidRPr="00D77DA8">
              <w:rPr>
                <w:color w:val="000000"/>
              </w:rPr>
              <w:t>Barwon</w:t>
            </w:r>
          </w:p>
        </w:tc>
        <w:tc>
          <w:tcPr>
            <w:tcW w:w="321" w:type="pct"/>
            <w:hideMark/>
          </w:tcPr>
          <w:p w14:paraId="6C21EC0B"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6C695D40" w14:textId="77777777" w:rsidR="00931F10" w:rsidRPr="00D77DA8" w:rsidRDefault="00931F10" w:rsidP="00C83E0B">
            <w:pPr>
              <w:pStyle w:val="DHHStabletext9pt"/>
              <w:rPr>
                <w:color w:val="000000"/>
              </w:rPr>
            </w:pPr>
            <w:r w:rsidRPr="00D77DA8">
              <w:rPr>
                <w:color w:val="000000"/>
              </w:rPr>
              <w:t>Barwon</w:t>
            </w:r>
          </w:p>
        </w:tc>
        <w:tc>
          <w:tcPr>
            <w:tcW w:w="330" w:type="pct"/>
            <w:hideMark/>
          </w:tcPr>
          <w:p w14:paraId="212B58D0" w14:textId="77777777" w:rsidR="00931F10" w:rsidRPr="00D77DA8" w:rsidRDefault="00931F10" w:rsidP="00C83E0B">
            <w:pPr>
              <w:pStyle w:val="DHHStabletext9pt"/>
              <w:rPr>
                <w:color w:val="000000"/>
              </w:rPr>
            </w:pPr>
            <w:r w:rsidRPr="00D77DA8">
              <w:rPr>
                <w:color w:val="000000"/>
              </w:rPr>
              <w:t>Barwon Health</w:t>
            </w:r>
          </w:p>
        </w:tc>
        <w:tc>
          <w:tcPr>
            <w:tcW w:w="301" w:type="pct"/>
            <w:hideMark/>
          </w:tcPr>
          <w:p w14:paraId="16FAE115"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31999AFA"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6CDB3312" w14:textId="77777777" w:rsidR="00931F10" w:rsidRPr="00D77DA8" w:rsidRDefault="00931F10" w:rsidP="00C83E0B">
            <w:pPr>
              <w:pStyle w:val="DHHStabletext9pt"/>
              <w:rPr>
                <w:color w:val="000000"/>
              </w:rPr>
            </w:pPr>
            <w:r w:rsidRPr="00D77DA8">
              <w:rPr>
                <w:color w:val="000000"/>
              </w:rPr>
              <w:t>Yes</w:t>
            </w:r>
          </w:p>
        </w:tc>
      </w:tr>
      <w:tr w:rsidR="00C83E0B" w:rsidRPr="003A1EF9" w14:paraId="4B3BB7E4" w14:textId="77777777" w:rsidTr="00856F51">
        <w:trPr>
          <w:trHeight w:val="1618"/>
        </w:trPr>
        <w:tc>
          <w:tcPr>
            <w:tcW w:w="383" w:type="pct"/>
            <w:hideMark/>
          </w:tcPr>
          <w:p w14:paraId="1E139F76" w14:textId="77777777" w:rsidR="00931F10" w:rsidRPr="00D77DA8" w:rsidRDefault="00931F10" w:rsidP="00C83E0B">
            <w:pPr>
              <w:pStyle w:val="DHHStabletext9pt"/>
            </w:pPr>
            <w:r w:rsidRPr="00D77DA8">
              <w:t>Corangamite Shire</w:t>
            </w:r>
          </w:p>
        </w:tc>
        <w:tc>
          <w:tcPr>
            <w:tcW w:w="2209" w:type="pct"/>
            <w:hideMark/>
          </w:tcPr>
          <w:p w14:paraId="71D92677" w14:textId="77777777" w:rsidR="00931F10" w:rsidRPr="00D77DA8" w:rsidRDefault="00931F10" w:rsidP="00C83E0B">
            <w:pPr>
              <w:pStyle w:val="DHHStabletext9pt"/>
              <w:rPr>
                <w:color w:val="000000"/>
              </w:rPr>
            </w:pPr>
            <w:r w:rsidRPr="00D77DA8">
              <w:rPr>
                <w:color w:val="000000"/>
              </w:rPr>
              <w:t xml:space="preserve">Alvie; Ayrford; Berrybank; Bookaar; Boorcan; Bostocks Creek; Bradvale; Brucknell; Bullaharre; Camperdown; Carlisle River; Carpendeit; Chapple Vale; Chocolyn; Cobden; Cobrico; Cooriemungle; Cowleys Creek; Cressy; Cundare North; Curdies River; Curdievale; Darlington; Derrinallum; Dixie; Dreeite; Dreeite South; Duverney; Ecklin South; Elingamite; Elingamite North; Foxhow; Garvoc; Gellibrand Lower; Glenfyne; Glenormiston North; Glenormiston South; Gnotuk; Heytesbury Lower; Jancourt; Jancourt East; Kariah; Kennedys Creek; Koallah; Kolora; Larralea; Leslie Manor; Lismore; Mingay; Mount Bute; Naroghid; Newfield; Nirranda East; Noorat; Noorat East; Paaratte; Peterborough; Pirron Yallock; Pittong; Pomborneit; </w:t>
            </w:r>
            <w:r w:rsidRPr="00D77DA8">
              <w:rPr>
                <w:color w:val="000000"/>
              </w:rPr>
              <w:lastRenderedPageBreak/>
              <w:t>Pomborneit East; Pomborneit North; Port Campbell; Princetown; Scotts Creek; Simpson; Skibo; Skipton; South Purrumbete; Stonyford; Tandarook; Taroon; Terang; Tesbury; Timboon; Timboon West; Vite Vite; Vite Vite North; Waarre; Wattle Hill; Weerite; Werneth; Wool Wool</w:t>
            </w:r>
          </w:p>
        </w:tc>
        <w:tc>
          <w:tcPr>
            <w:tcW w:w="328" w:type="pct"/>
            <w:hideMark/>
          </w:tcPr>
          <w:p w14:paraId="32A590B4" w14:textId="77777777" w:rsidR="00931F10" w:rsidRPr="00D77DA8" w:rsidRDefault="00931F10" w:rsidP="00C83E0B">
            <w:pPr>
              <w:pStyle w:val="DHHStabletext9pt"/>
              <w:rPr>
                <w:color w:val="000000"/>
              </w:rPr>
            </w:pPr>
            <w:r w:rsidRPr="00D77DA8">
              <w:rPr>
                <w:color w:val="000000"/>
              </w:rPr>
              <w:lastRenderedPageBreak/>
              <w:t>Wimmera South West</w:t>
            </w:r>
          </w:p>
        </w:tc>
        <w:tc>
          <w:tcPr>
            <w:tcW w:w="321" w:type="pct"/>
            <w:hideMark/>
          </w:tcPr>
          <w:p w14:paraId="14AD0B68"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4D9B493B" w14:textId="77777777" w:rsidR="00931F10" w:rsidRPr="00D77DA8" w:rsidRDefault="00931F10" w:rsidP="00C83E0B">
            <w:pPr>
              <w:pStyle w:val="DHHStabletext9pt"/>
              <w:rPr>
                <w:color w:val="000000"/>
              </w:rPr>
            </w:pPr>
            <w:r w:rsidRPr="00D77DA8">
              <w:rPr>
                <w:color w:val="000000"/>
              </w:rPr>
              <w:t>WSW - South West</w:t>
            </w:r>
          </w:p>
        </w:tc>
        <w:tc>
          <w:tcPr>
            <w:tcW w:w="330" w:type="pct"/>
            <w:hideMark/>
          </w:tcPr>
          <w:p w14:paraId="59553BF7" w14:textId="77777777" w:rsidR="00931F10" w:rsidRPr="00D77DA8" w:rsidRDefault="00931F10" w:rsidP="00C83E0B">
            <w:pPr>
              <w:pStyle w:val="DHHStabletext9pt"/>
              <w:rPr>
                <w:color w:val="000000"/>
              </w:rPr>
            </w:pPr>
            <w:r w:rsidRPr="009C54E1">
              <w:rPr>
                <w:color w:val="000000"/>
              </w:rPr>
              <w:t>South West Health Care</w:t>
            </w:r>
          </w:p>
        </w:tc>
        <w:tc>
          <w:tcPr>
            <w:tcW w:w="301" w:type="pct"/>
            <w:hideMark/>
          </w:tcPr>
          <w:p w14:paraId="35EA6346"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7BEF4786"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2597CA61" w14:textId="77777777" w:rsidR="00931F10" w:rsidRPr="00D77DA8" w:rsidRDefault="00931F10" w:rsidP="00C83E0B">
            <w:pPr>
              <w:pStyle w:val="DHHStabletext9pt"/>
              <w:rPr>
                <w:color w:val="000000"/>
              </w:rPr>
            </w:pPr>
            <w:r w:rsidRPr="00D77DA8">
              <w:rPr>
                <w:color w:val="000000"/>
              </w:rPr>
              <w:t>Yes</w:t>
            </w:r>
          </w:p>
        </w:tc>
      </w:tr>
      <w:tr w:rsidR="00C83E0B" w:rsidRPr="003A1EF9" w14:paraId="50CBEAF5" w14:textId="77777777" w:rsidTr="00856F51">
        <w:trPr>
          <w:trHeight w:val="600"/>
        </w:trPr>
        <w:tc>
          <w:tcPr>
            <w:tcW w:w="383" w:type="pct"/>
            <w:shd w:val="clear" w:color="auto" w:fill="auto"/>
            <w:hideMark/>
          </w:tcPr>
          <w:p w14:paraId="4D0A78B3" w14:textId="77777777" w:rsidR="00931F10" w:rsidRPr="00D77DA8" w:rsidRDefault="00931F10" w:rsidP="00C83E0B">
            <w:pPr>
              <w:pStyle w:val="DHHStabletext9pt"/>
            </w:pPr>
            <w:r w:rsidRPr="00D77DA8">
              <w:t>Darebin City</w:t>
            </w:r>
          </w:p>
        </w:tc>
        <w:tc>
          <w:tcPr>
            <w:tcW w:w="2209" w:type="pct"/>
            <w:shd w:val="clear" w:color="auto" w:fill="auto"/>
            <w:hideMark/>
          </w:tcPr>
          <w:p w14:paraId="25C540D2" w14:textId="77777777" w:rsidR="00931F10" w:rsidRPr="00D77DA8" w:rsidRDefault="00931F10" w:rsidP="00C83E0B">
            <w:pPr>
              <w:pStyle w:val="DHHStabletext9pt"/>
              <w:rPr>
                <w:color w:val="000000"/>
              </w:rPr>
            </w:pPr>
            <w:r w:rsidRPr="00D77DA8">
              <w:rPr>
                <w:color w:val="000000"/>
              </w:rPr>
              <w:t>Coburg</w:t>
            </w:r>
          </w:p>
        </w:tc>
        <w:tc>
          <w:tcPr>
            <w:tcW w:w="328" w:type="pct"/>
            <w:shd w:val="clear" w:color="auto" w:fill="auto"/>
            <w:hideMark/>
          </w:tcPr>
          <w:p w14:paraId="1B54914E" w14:textId="77777777" w:rsidR="00931F10" w:rsidRPr="00D77DA8" w:rsidRDefault="00931F10" w:rsidP="00C83E0B">
            <w:pPr>
              <w:pStyle w:val="DHHStabletext9pt"/>
              <w:rPr>
                <w:color w:val="000000"/>
              </w:rPr>
            </w:pPr>
            <w:r w:rsidRPr="00D77DA8">
              <w:rPr>
                <w:color w:val="000000"/>
              </w:rPr>
              <w:t xml:space="preserve">North East Melbourne </w:t>
            </w:r>
          </w:p>
        </w:tc>
        <w:tc>
          <w:tcPr>
            <w:tcW w:w="321" w:type="pct"/>
            <w:shd w:val="clear" w:color="auto" w:fill="auto"/>
            <w:hideMark/>
          </w:tcPr>
          <w:p w14:paraId="16572F16" w14:textId="77777777" w:rsidR="00931F10" w:rsidRPr="00D77DA8" w:rsidRDefault="00931F10" w:rsidP="00C83E0B">
            <w:pPr>
              <w:pStyle w:val="DHHStabletext9pt"/>
              <w:rPr>
                <w:color w:val="000000"/>
              </w:rPr>
            </w:pPr>
            <w:r w:rsidRPr="00D77DA8">
              <w:rPr>
                <w:color w:val="000000"/>
              </w:rPr>
              <w:t xml:space="preserve">North </w:t>
            </w:r>
          </w:p>
        </w:tc>
        <w:tc>
          <w:tcPr>
            <w:tcW w:w="345" w:type="pct"/>
            <w:shd w:val="clear" w:color="auto" w:fill="auto"/>
            <w:hideMark/>
          </w:tcPr>
          <w:p w14:paraId="29B618FD" w14:textId="77777777" w:rsidR="00931F10" w:rsidRPr="00D77DA8" w:rsidRDefault="00931F10" w:rsidP="00C83E0B">
            <w:pPr>
              <w:pStyle w:val="DHHStabletext9pt"/>
              <w:rPr>
                <w:color w:val="000000"/>
              </w:rPr>
            </w:pPr>
            <w:r w:rsidRPr="00D77DA8">
              <w:rPr>
                <w:color w:val="000000"/>
              </w:rPr>
              <w:t>Darebin</w:t>
            </w:r>
          </w:p>
        </w:tc>
        <w:tc>
          <w:tcPr>
            <w:tcW w:w="330" w:type="pct"/>
            <w:shd w:val="clear" w:color="auto" w:fill="auto"/>
            <w:hideMark/>
          </w:tcPr>
          <w:p w14:paraId="49E96C04" w14:textId="77777777" w:rsidR="00931F10" w:rsidRPr="00D77DA8" w:rsidRDefault="00931F10" w:rsidP="00C83E0B">
            <w:pPr>
              <w:pStyle w:val="DHHStabletext9pt"/>
              <w:rPr>
                <w:color w:val="000000"/>
              </w:rPr>
            </w:pPr>
            <w:r w:rsidRPr="009C54E1">
              <w:rPr>
                <w:color w:val="000000"/>
              </w:rPr>
              <w:t>Your Community Health</w:t>
            </w:r>
          </w:p>
        </w:tc>
        <w:tc>
          <w:tcPr>
            <w:tcW w:w="301" w:type="pct"/>
            <w:shd w:val="clear" w:color="auto" w:fill="auto"/>
            <w:hideMark/>
          </w:tcPr>
          <w:p w14:paraId="1AE1A195" w14:textId="77777777" w:rsidR="00931F10" w:rsidRPr="00D77DA8" w:rsidRDefault="00931F10" w:rsidP="00C83E0B">
            <w:pPr>
              <w:pStyle w:val="DHHStabletext9pt"/>
              <w:rPr>
                <w:color w:val="000000"/>
              </w:rPr>
            </w:pPr>
            <w:r w:rsidRPr="00D77DA8">
              <w:rPr>
                <w:color w:val="000000"/>
              </w:rPr>
              <w:t>WEPHU</w:t>
            </w:r>
          </w:p>
        </w:tc>
        <w:tc>
          <w:tcPr>
            <w:tcW w:w="410" w:type="pct"/>
            <w:shd w:val="clear" w:color="auto" w:fill="auto"/>
            <w:hideMark/>
          </w:tcPr>
          <w:p w14:paraId="5D009995"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shd w:val="clear" w:color="auto" w:fill="auto"/>
            <w:hideMark/>
          </w:tcPr>
          <w:p w14:paraId="7B10DBC4" w14:textId="77777777" w:rsidR="00931F10" w:rsidRPr="00D77DA8" w:rsidRDefault="00931F10" w:rsidP="00C83E0B">
            <w:pPr>
              <w:pStyle w:val="DHHStabletext9pt"/>
              <w:rPr>
                <w:color w:val="000000"/>
              </w:rPr>
            </w:pPr>
          </w:p>
        </w:tc>
      </w:tr>
      <w:tr w:rsidR="00C83E0B" w:rsidRPr="003A1EF9" w14:paraId="55719CBF" w14:textId="77777777" w:rsidTr="00856F51">
        <w:trPr>
          <w:trHeight w:val="600"/>
        </w:trPr>
        <w:tc>
          <w:tcPr>
            <w:tcW w:w="383" w:type="pct"/>
            <w:shd w:val="clear" w:color="auto" w:fill="auto"/>
            <w:hideMark/>
          </w:tcPr>
          <w:p w14:paraId="3A01A37A" w14:textId="77777777" w:rsidR="00931F10" w:rsidRPr="00D77DA8" w:rsidRDefault="00931F10" w:rsidP="00C83E0B">
            <w:pPr>
              <w:pStyle w:val="DHHStabletext9pt"/>
            </w:pPr>
            <w:r w:rsidRPr="00D77DA8">
              <w:t>Darebin City</w:t>
            </w:r>
          </w:p>
        </w:tc>
        <w:tc>
          <w:tcPr>
            <w:tcW w:w="2209" w:type="pct"/>
            <w:shd w:val="clear" w:color="auto" w:fill="auto"/>
            <w:hideMark/>
          </w:tcPr>
          <w:p w14:paraId="6BE95D6E" w14:textId="34A2B958" w:rsidR="00931F10" w:rsidRPr="00D77DA8" w:rsidRDefault="00931F10" w:rsidP="00C83E0B">
            <w:pPr>
              <w:pStyle w:val="DHHStabletext9pt"/>
              <w:rPr>
                <w:color w:val="000000"/>
              </w:rPr>
            </w:pPr>
            <w:r w:rsidRPr="00D77DA8">
              <w:rPr>
                <w:color w:val="000000"/>
              </w:rPr>
              <w:t xml:space="preserve">Bundoora (Part), Kingsbury, Macleod (Part), Fairfield, Alphington, Northcote, Preston, Reservoir, Thornbury </w:t>
            </w:r>
          </w:p>
        </w:tc>
        <w:tc>
          <w:tcPr>
            <w:tcW w:w="328" w:type="pct"/>
            <w:shd w:val="clear" w:color="auto" w:fill="auto"/>
            <w:hideMark/>
          </w:tcPr>
          <w:p w14:paraId="72B22431" w14:textId="77777777" w:rsidR="00931F10" w:rsidRPr="00D77DA8" w:rsidRDefault="00931F10" w:rsidP="00C83E0B">
            <w:pPr>
              <w:pStyle w:val="DHHStabletext9pt"/>
              <w:rPr>
                <w:color w:val="000000"/>
              </w:rPr>
            </w:pPr>
            <w:r w:rsidRPr="00D77DA8">
              <w:rPr>
                <w:color w:val="000000"/>
              </w:rPr>
              <w:t xml:space="preserve">North East Melbourne </w:t>
            </w:r>
          </w:p>
        </w:tc>
        <w:tc>
          <w:tcPr>
            <w:tcW w:w="321" w:type="pct"/>
            <w:shd w:val="clear" w:color="auto" w:fill="auto"/>
            <w:hideMark/>
          </w:tcPr>
          <w:p w14:paraId="372366E9" w14:textId="77777777" w:rsidR="00931F10" w:rsidRPr="00D77DA8" w:rsidRDefault="00931F10" w:rsidP="00C83E0B">
            <w:pPr>
              <w:pStyle w:val="DHHStabletext9pt"/>
              <w:rPr>
                <w:color w:val="000000"/>
              </w:rPr>
            </w:pPr>
            <w:r w:rsidRPr="00D77DA8">
              <w:rPr>
                <w:color w:val="000000"/>
              </w:rPr>
              <w:t xml:space="preserve">North </w:t>
            </w:r>
          </w:p>
        </w:tc>
        <w:tc>
          <w:tcPr>
            <w:tcW w:w="345" w:type="pct"/>
            <w:shd w:val="clear" w:color="auto" w:fill="auto"/>
            <w:hideMark/>
          </w:tcPr>
          <w:p w14:paraId="642FBCE7" w14:textId="77777777" w:rsidR="00931F10" w:rsidRPr="00D77DA8" w:rsidRDefault="00931F10" w:rsidP="00C83E0B">
            <w:pPr>
              <w:pStyle w:val="DHHStabletext9pt"/>
              <w:rPr>
                <w:color w:val="000000"/>
              </w:rPr>
            </w:pPr>
            <w:r w:rsidRPr="00D77DA8">
              <w:rPr>
                <w:color w:val="000000"/>
              </w:rPr>
              <w:t>Darebin</w:t>
            </w:r>
          </w:p>
        </w:tc>
        <w:tc>
          <w:tcPr>
            <w:tcW w:w="330" w:type="pct"/>
            <w:shd w:val="clear" w:color="auto" w:fill="auto"/>
            <w:hideMark/>
          </w:tcPr>
          <w:p w14:paraId="166ED5F8" w14:textId="77777777" w:rsidR="00931F10" w:rsidRPr="00D77DA8" w:rsidRDefault="00931F10" w:rsidP="00C83E0B">
            <w:pPr>
              <w:pStyle w:val="DHHStabletext9pt"/>
              <w:rPr>
                <w:color w:val="000000"/>
              </w:rPr>
            </w:pPr>
            <w:r w:rsidRPr="009C54E1">
              <w:rPr>
                <w:color w:val="000000"/>
              </w:rPr>
              <w:t>Your Community Health</w:t>
            </w:r>
          </w:p>
        </w:tc>
        <w:tc>
          <w:tcPr>
            <w:tcW w:w="301" w:type="pct"/>
            <w:shd w:val="clear" w:color="auto" w:fill="auto"/>
            <w:hideMark/>
          </w:tcPr>
          <w:p w14:paraId="35133BB9" w14:textId="77777777" w:rsidR="00931F10" w:rsidRPr="00D77DA8" w:rsidRDefault="00931F10" w:rsidP="00C83E0B">
            <w:pPr>
              <w:pStyle w:val="DHHStabletext9pt"/>
              <w:rPr>
                <w:color w:val="000000"/>
              </w:rPr>
            </w:pPr>
            <w:r w:rsidRPr="00D77DA8">
              <w:rPr>
                <w:color w:val="000000"/>
              </w:rPr>
              <w:t>NEPHU</w:t>
            </w:r>
          </w:p>
        </w:tc>
        <w:tc>
          <w:tcPr>
            <w:tcW w:w="410" w:type="pct"/>
            <w:shd w:val="clear" w:color="auto" w:fill="auto"/>
            <w:hideMark/>
          </w:tcPr>
          <w:p w14:paraId="3DE6FDA0"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shd w:val="clear" w:color="auto" w:fill="auto"/>
            <w:hideMark/>
          </w:tcPr>
          <w:p w14:paraId="619CBFA9" w14:textId="77777777" w:rsidR="00931F10" w:rsidRPr="00D77DA8" w:rsidRDefault="00931F10" w:rsidP="00C83E0B">
            <w:pPr>
              <w:pStyle w:val="DHHStabletext9pt"/>
              <w:rPr>
                <w:color w:val="000000"/>
              </w:rPr>
            </w:pPr>
          </w:p>
        </w:tc>
      </w:tr>
      <w:tr w:rsidR="00C83E0B" w:rsidRPr="003A1EF9" w14:paraId="6821E6E3" w14:textId="77777777" w:rsidTr="00856F51">
        <w:trPr>
          <w:trHeight w:val="74"/>
        </w:trPr>
        <w:tc>
          <w:tcPr>
            <w:tcW w:w="383" w:type="pct"/>
            <w:hideMark/>
          </w:tcPr>
          <w:p w14:paraId="029729E0" w14:textId="77777777" w:rsidR="00931F10" w:rsidRPr="00D77DA8" w:rsidRDefault="00931F10" w:rsidP="00C83E0B">
            <w:pPr>
              <w:pStyle w:val="DHHStabletext9pt"/>
            </w:pPr>
            <w:r w:rsidRPr="00D77DA8">
              <w:t>East Gippsland Shire</w:t>
            </w:r>
          </w:p>
        </w:tc>
        <w:tc>
          <w:tcPr>
            <w:tcW w:w="2209" w:type="pct"/>
            <w:hideMark/>
          </w:tcPr>
          <w:p w14:paraId="7C2E2BB8" w14:textId="77777777" w:rsidR="00931F10" w:rsidRPr="00D77DA8" w:rsidRDefault="00931F10" w:rsidP="00C83E0B">
            <w:pPr>
              <w:pStyle w:val="DHHStabletext9pt"/>
            </w:pPr>
            <w:r w:rsidRPr="00D77DA8">
              <w:t xml:space="preserve">Anglers Rest, Bairnsdale, Bairnsdale East, Bellbird Creek, Bemm River, Benambra, Bendoc, Bengworden, Bete Bolong, Bete Bolong North, Bindi, Bingo Munji, Bonang, Boole Poole, Broadlands, Brodribb River, Brookville, Bruthen, Buchan, Buchan South, Buldah, Bullumwaal, Bumberrah, Bundara, Butchers Ridge, Cabanandra, Cabbage Tree Creek, Calulu, Cann River, Cape Conran, Cassilis, Chandlers Creek, Clifton Creek, Club Terrace, Cobbannah, Cobberas, Cobungra, Combienbar, Corringle, Dartmouth, Deddick Valley, Delegate River East, Dellicknora, Deptford, Doctors Flat, Double Bridges, Eagle Point, Ellaswood, Ensay, Ensay North, Erinunderra, Fairy Dell, Fernbank, Flaggy Creek, Forge Creek, Gelantipy, Genoa, Gipsy Point, Glen Valley, Glen Wills, Glenaladale, Goon Nure, Goongerah, Granite Rock, Haydens Bog, Hillside, Hinnomunjie, Hollands Landing, Iguana Creek, Jarrahmond, Johnsonville, Kalimna, Kalimna West, Lake Bunga, Lake Tyers, Lake Tyers Beach, Lakes Entrance, Lindenow, Lindenow South, Lochend, Lucknow, Mallacoota, Manorina, Maramingo Creek, Marlo, Marthavale, Melwood, Merrijig, Metung, Mitta Mitta, Mossiface, Mount Taylor, Murrindal, Nariel Valley, Newlands Arm, Newmerella, Nicholson, Noorinbee, Noorinbee North, Nowa Nowa, Nungurner, Nunniong, Nurran, Nyerimilang, Ocean Grange, Omeo, Omeo Valley, Orbost, Paynesville, Raymond Island, Reedy Creek, Sarsfield, Shannonvale, Simpsons Creek, Stirling, Suggan Buggan, Swan Reach, Swifts Creek, Tabberabbera, Tambo Crossing, Tambo Upper, Tamboon, The Fingerboards, Timbarra, Tom Groggin, Tonghi Creek, Tongio, Toorloo Arm, Tostaree, Tubbut, Uplands, W Tree, Wairewa, Wallagaraugh, Walpa, Wangarabell, Waterholes, Waygara, Weeragua, Wingan </w:t>
            </w:r>
            <w:r w:rsidRPr="00D77DA8">
              <w:lastRenderedPageBreak/>
              <w:t>River, Wiseleigh, Wombat Creek, Woodglen, Wroxham, Wuk Wuk, Wulgulmerang, Wulgulmerang East, Wulgulmerang West, Wy Yung And Yalmy</w:t>
            </w:r>
          </w:p>
        </w:tc>
        <w:tc>
          <w:tcPr>
            <w:tcW w:w="328" w:type="pct"/>
            <w:hideMark/>
          </w:tcPr>
          <w:p w14:paraId="12503EA4" w14:textId="77777777" w:rsidR="00931F10" w:rsidRPr="00D77DA8" w:rsidRDefault="00931F10" w:rsidP="00C83E0B">
            <w:pPr>
              <w:pStyle w:val="DHHStabletext9pt"/>
              <w:rPr>
                <w:color w:val="000000"/>
              </w:rPr>
            </w:pPr>
            <w:r w:rsidRPr="00D77DA8">
              <w:rPr>
                <w:color w:val="000000"/>
              </w:rPr>
              <w:lastRenderedPageBreak/>
              <w:t>Outer Gippsland Area (OGA)</w:t>
            </w:r>
          </w:p>
        </w:tc>
        <w:tc>
          <w:tcPr>
            <w:tcW w:w="321" w:type="pct"/>
            <w:hideMark/>
          </w:tcPr>
          <w:p w14:paraId="2B7FC94F"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605AAA39" w14:textId="77777777" w:rsidR="00931F10" w:rsidRPr="00D77DA8" w:rsidRDefault="00931F10" w:rsidP="00C83E0B">
            <w:pPr>
              <w:pStyle w:val="DHHStabletext9pt"/>
              <w:rPr>
                <w:color w:val="000000"/>
              </w:rPr>
            </w:pPr>
            <w:r w:rsidRPr="00D77DA8">
              <w:rPr>
                <w:color w:val="000000"/>
              </w:rPr>
              <w:t>East Gippsland</w:t>
            </w:r>
          </w:p>
        </w:tc>
        <w:tc>
          <w:tcPr>
            <w:tcW w:w="330" w:type="pct"/>
            <w:hideMark/>
          </w:tcPr>
          <w:p w14:paraId="11413456" w14:textId="77777777" w:rsidR="00931F10" w:rsidRPr="00D77DA8" w:rsidRDefault="00931F10" w:rsidP="00C83E0B">
            <w:pPr>
              <w:pStyle w:val="DHHStabletext9pt"/>
              <w:rPr>
                <w:color w:val="000000"/>
              </w:rPr>
            </w:pPr>
            <w:r w:rsidRPr="00325471">
              <w:rPr>
                <w:color w:val="000000"/>
              </w:rPr>
              <w:t>Gippsland Lakes Complete Health</w:t>
            </w:r>
          </w:p>
        </w:tc>
        <w:tc>
          <w:tcPr>
            <w:tcW w:w="301" w:type="pct"/>
            <w:hideMark/>
          </w:tcPr>
          <w:p w14:paraId="0D8182BD" w14:textId="77777777" w:rsidR="00931F10" w:rsidRPr="00D77DA8" w:rsidRDefault="00931F10" w:rsidP="00C83E0B">
            <w:pPr>
              <w:pStyle w:val="DHHStabletext9pt"/>
              <w:rPr>
                <w:color w:val="000000"/>
              </w:rPr>
            </w:pPr>
            <w:r w:rsidRPr="00D77DA8">
              <w:rPr>
                <w:color w:val="000000"/>
              </w:rPr>
              <w:t>La Trobe Health</w:t>
            </w:r>
          </w:p>
        </w:tc>
        <w:tc>
          <w:tcPr>
            <w:tcW w:w="410" w:type="pct"/>
            <w:hideMark/>
          </w:tcPr>
          <w:p w14:paraId="3C8148AE" w14:textId="77777777" w:rsidR="00931F10" w:rsidRPr="00D77DA8" w:rsidRDefault="00931F10" w:rsidP="00C83E0B">
            <w:pPr>
              <w:pStyle w:val="DHHStabletext9pt"/>
              <w:rPr>
                <w:color w:val="000000"/>
              </w:rPr>
            </w:pPr>
            <w:r w:rsidRPr="00D77DA8">
              <w:rPr>
                <w:color w:val="000000"/>
              </w:rPr>
              <w:t>Gippsland - Lead - La Trobe Regional Health</w:t>
            </w:r>
          </w:p>
        </w:tc>
        <w:tc>
          <w:tcPr>
            <w:tcW w:w="373" w:type="pct"/>
            <w:hideMark/>
          </w:tcPr>
          <w:p w14:paraId="46CE01A5" w14:textId="77777777" w:rsidR="00931F10" w:rsidRPr="00D77DA8" w:rsidRDefault="00931F10" w:rsidP="00C83E0B">
            <w:pPr>
              <w:pStyle w:val="DHHStabletext9pt"/>
              <w:rPr>
                <w:color w:val="000000"/>
              </w:rPr>
            </w:pPr>
            <w:r w:rsidRPr="00D77DA8">
              <w:rPr>
                <w:color w:val="000000"/>
              </w:rPr>
              <w:t>Yes</w:t>
            </w:r>
          </w:p>
        </w:tc>
      </w:tr>
      <w:tr w:rsidR="00C83E0B" w:rsidRPr="003A1EF9" w14:paraId="3BB916DF" w14:textId="77777777" w:rsidTr="00856F51">
        <w:trPr>
          <w:trHeight w:val="750"/>
        </w:trPr>
        <w:tc>
          <w:tcPr>
            <w:tcW w:w="383" w:type="pct"/>
            <w:hideMark/>
          </w:tcPr>
          <w:p w14:paraId="77A38B65" w14:textId="77777777" w:rsidR="00931F10" w:rsidRPr="00D77DA8" w:rsidRDefault="00931F10" w:rsidP="00C83E0B">
            <w:pPr>
              <w:pStyle w:val="DHHStabletext9pt"/>
            </w:pPr>
            <w:r w:rsidRPr="00D77DA8">
              <w:t>Frankston City</w:t>
            </w:r>
          </w:p>
        </w:tc>
        <w:tc>
          <w:tcPr>
            <w:tcW w:w="2209" w:type="pct"/>
            <w:hideMark/>
          </w:tcPr>
          <w:p w14:paraId="5827A856" w14:textId="77777777" w:rsidR="00931F10" w:rsidRPr="00D77DA8" w:rsidRDefault="00931F10" w:rsidP="00C83E0B">
            <w:pPr>
              <w:pStyle w:val="DHHStabletext9pt"/>
              <w:rPr>
                <w:color w:val="000000"/>
              </w:rPr>
            </w:pPr>
            <w:r w:rsidRPr="00D77DA8">
              <w:rPr>
                <w:color w:val="000000"/>
              </w:rPr>
              <w:t>Carrum Downs, Frankston, Frankston North, Frankston South, Karingal, Langwarrin, Langwarrin South, Sandhurst, Seaford And Skye.</w:t>
            </w:r>
          </w:p>
        </w:tc>
        <w:tc>
          <w:tcPr>
            <w:tcW w:w="328" w:type="pct"/>
            <w:hideMark/>
          </w:tcPr>
          <w:p w14:paraId="0471D4D2" w14:textId="77777777" w:rsidR="00931F10" w:rsidRPr="00D77DA8" w:rsidRDefault="00931F10" w:rsidP="00C83E0B">
            <w:pPr>
              <w:pStyle w:val="DHHStabletext9pt"/>
              <w:rPr>
                <w:color w:val="000000"/>
              </w:rPr>
            </w:pPr>
            <w:r w:rsidRPr="00D77DA8">
              <w:rPr>
                <w:color w:val="000000"/>
              </w:rPr>
              <w:t>Bayside Peninsula Area (BPA)</w:t>
            </w:r>
          </w:p>
        </w:tc>
        <w:tc>
          <w:tcPr>
            <w:tcW w:w="321" w:type="pct"/>
            <w:hideMark/>
          </w:tcPr>
          <w:p w14:paraId="1DFE2D25"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3B16A867" w14:textId="527D26BD" w:rsidR="00931F10" w:rsidRPr="00D77DA8" w:rsidRDefault="00931F10" w:rsidP="00C83E0B">
            <w:pPr>
              <w:pStyle w:val="DHHStabletext9pt"/>
              <w:rPr>
                <w:rFonts w:cstheme="minorBidi"/>
                <w:color w:val="000000"/>
              </w:rPr>
            </w:pPr>
            <w:r w:rsidRPr="76CA946F">
              <w:rPr>
                <w:rFonts w:cstheme="minorBidi"/>
                <w:color w:val="000000" w:themeColor="text1"/>
              </w:rPr>
              <w:t xml:space="preserve">Bayside Peninsula Lower </w:t>
            </w:r>
          </w:p>
        </w:tc>
        <w:tc>
          <w:tcPr>
            <w:tcW w:w="330" w:type="pct"/>
            <w:hideMark/>
          </w:tcPr>
          <w:p w14:paraId="6F474797" w14:textId="77777777" w:rsidR="00931F10" w:rsidRPr="00D77DA8" w:rsidRDefault="00931F10" w:rsidP="00C83E0B">
            <w:pPr>
              <w:pStyle w:val="DHHStabletext9pt"/>
              <w:rPr>
                <w:color w:val="000000"/>
              </w:rPr>
            </w:pPr>
            <w:r w:rsidRPr="00325471">
              <w:rPr>
                <w:color w:val="000000"/>
              </w:rPr>
              <w:t>Peninsula Health</w:t>
            </w:r>
          </w:p>
        </w:tc>
        <w:tc>
          <w:tcPr>
            <w:tcW w:w="301" w:type="pct"/>
            <w:hideMark/>
          </w:tcPr>
          <w:p w14:paraId="1C925355"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3493B7E0" w14:textId="77777777" w:rsidR="00931F10" w:rsidRPr="00D77DA8" w:rsidRDefault="00931F10" w:rsidP="00C83E0B">
            <w:pPr>
              <w:pStyle w:val="DHHStabletext9pt"/>
              <w:rPr>
                <w:color w:val="000000"/>
              </w:rPr>
            </w:pPr>
            <w:r w:rsidRPr="00D77DA8">
              <w:rPr>
                <w:color w:val="000000"/>
              </w:rPr>
              <w:t>South Metro - Lead - Alfred Health</w:t>
            </w:r>
          </w:p>
        </w:tc>
        <w:tc>
          <w:tcPr>
            <w:tcW w:w="373" w:type="pct"/>
            <w:hideMark/>
          </w:tcPr>
          <w:p w14:paraId="2201D79B" w14:textId="77777777" w:rsidR="00931F10" w:rsidRPr="00D77DA8" w:rsidRDefault="00931F10" w:rsidP="00C83E0B">
            <w:pPr>
              <w:pStyle w:val="DHHStabletext9pt"/>
              <w:rPr>
                <w:color w:val="000000"/>
              </w:rPr>
            </w:pPr>
          </w:p>
        </w:tc>
      </w:tr>
      <w:tr w:rsidR="00C83E0B" w:rsidRPr="003A1EF9" w14:paraId="2EEC0D6F" w14:textId="77777777" w:rsidTr="00856F51">
        <w:trPr>
          <w:trHeight w:val="1902"/>
        </w:trPr>
        <w:tc>
          <w:tcPr>
            <w:tcW w:w="383" w:type="pct"/>
            <w:hideMark/>
          </w:tcPr>
          <w:p w14:paraId="46AF4061" w14:textId="77777777" w:rsidR="00931F10" w:rsidRPr="00D77DA8" w:rsidRDefault="00931F10" w:rsidP="00C83E0B">
            <w:pPr>
              <w:pStyle w:val="DHHStabletext9pt"/>
            </w:pPr>
            <w:r w:rsidRPr="00D77DA8">
              <w:t>Gannawarra Shire</w:t>
            </w:r>
          </w:p>
        </w:tc>
        <w:tc>
          <w:tcPr>
            <w:tcW w:w="2209" w:type="pct"/>
            <w:hideMark/>
          </w:tcPr>
          <w:p w14:paraId="4C459B22" w14:textId="62DAB3E9" w:rsidR="00931F10" w:rsidRPr="00D77DA8" w:rsidRDefault="00931F10" w:rsidP="00C83E0B">
            <w:pPr>
              <w:pStyle w:val="DHHStabletext9pt"/>
              <w:rPr>
                <w:color w:val="000000"/>
              </w:rPr>
            </w:pPr>
            <w:r w:rsidRPr="00D77DA8">
              <w:rPr>
                <w:color w:val="000000"/>
              </w:rPr>
              <w:t>Appin, Appin South, Bael Bael, Beauchamp, Benjeroop, Budgerum East, Burkes Bridge, Cannie, Capels Crossing, Cohuna, Cullen, Daltons Bridge, Dingwall, Fairley, Gannawarra, Gonn Crossing, Gredgwin, Horfield, Keely, Kerang, Kerang East, Koondrook, Koroop</w:t>
            </w:r>
            <w:r w:rsidR="00C83E0B">
              <w:rPr>
                <w:color w:val="000000"/>
              </w:rPr>
              <w:t xml:space="preserve">, </w:t>
            </w:r>
            <w:r w:rsidRPr="00D77DA8">
              <w:rPr>
                <w:color w:val="000000"/>
              </w:rPr>
              <w:t>Lake Charm; Lake Meran; Lalbert; Leitchville; Macorna; Macorna North; Mcmillans; Mead; Meatian; Meering West; Milnes Bridge; Mincha West; Murrabit; Murrabit West; Myall (Kerang); Mystic Park; Ninyeunook; Normanville; Oakvale; Pine View; Quambatook</w:t>
            </w:r>
            <w:r w:rsidR="00C83E0B">
              <w:rPr>
                <w:color w:val="000000"/>
              </w:rPr>
              <w:t xml:space="preserve">, </w:t>
            </w:r>
            <w:r w:rsidRPr="00D77DA8">
              <w:rPr>
                <w:color w:val="000000"/>
              </w:rPr>
              <w:t>Reedy Lake; Sandhill Lake; Teal Point; Tittybong; Towaninny; Tragowel; Wandella; Wee Wee Rup; Westby</w:t>
            </w:r>
          </w:p>
        </w:tc>
        <w:tc>
          <w:tcPr>
            <w:tcW w:w="328" w:type="pct"/>
            <w:hideMark/>
          </w:tcPr>
          <w:p w14:paraId="255D55A6" w14:textId="77777777" w:rsidR="00931F10" w:rsidRPr="00D77DA8" w:rsidRDefault="00931F10" w:rsidP="00C83E0B">
            <w:pPr>
              <w:pStyle w:val="DHHStabletext9pt"/>
              <w:rPr>
                <w:color w:val="000000"/>
              </w:rPr>
            </w:pPr>
            <w:r w:rsidRPr="00D77DA8">
              <w:rPr>
                <w:color w:val="000000"/>
              </w:rPr>
              <w:t>Mallee</w:t>
            </w:r>
          </w:p>
        </w:tc>
        <w:tc>
          <w:tcPr>
            <w:tcW w:w="321" w:type="pct"/>
            <w:hideMark/>
          </w:tcPr>
          <w:p w14:paraId="08AB832C"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36D3D580" w14:textId="77777777" w:rsidR="00931F10" w:rsidRPr="00D77DA8" w:rsidRDefault="00931F10" w:rsidP="00C83E0B">
            <w:pPr>
              <w:pStyle w:val="DHHStabletext9pt"/>
              <w:rPr>
                <w:color w:val="000000"/>
              </w:rPr>
            </w:pPr>
            <w:r w:rsidRPr="00D77DA8">
              <w:rPr>
                <w:color w:val="000000"/>
              </w:rPr>
              <w:t>Southern Mallee</w:t>
            </w:r>
          </w:p>
        </w:tc>
        <w:tc>
          <w:tcPr>
            <w:tcW w:w="330" w:type="pct"/>
            <w:hideMark/>
          </w:tcPr>
          <w:p w14:paraId="77B250E9" w14:textId="77777777" w:rsidR="00931F10" w:rsidRPr="00D77DA8" w:rsidRDefault="00931F10" w:rsidP="00C83E0B">
            <w:pPr>
              <w:pStyle w:val="DHHStabletext9pt"/>
              <w:rPr>
                <w:color w:val="000000"/>
              </w:rPr>
            </w:pPr>
            <w:r w:rsidRPr="00325471">
              <w:rPr>
                <w:color w:val="000000"/>
              </w:rPr>
              <w:t>Swan Hill District Health</w:t>
            </w:r>
          </w:p>
        </w:tc>
        <w:tc>
          <w:tcPr>
            <w:tcW w:w="301" w:type="pct"/>
            <w:hideMark/>
          </w:tcPr>
          <w:p w14:paraId="0ED6EA71" w14:textId="77777777" w:rsidR="00931F10" w:rsidRPr="00D77DA8" w:rsidRDefault="00931F10" w:rsidP="00C83E0B">
            <w:pPr>
              <w:pStyle w:val="DHHStabletext9pt"/>
              <w:rPr>
                <w:color w:val="000000"/>
              </w:rPr>
            </w:pPr>
            <w:r w:rsidRPr="00D77DA8">
              <w:rPr>
                <w:color w:val="000000"/>
              </w:rPr>
              <w:t>Bendigo Health</w:t>
            </w:r>
          </w:p>
        </w:tc>
        <w:tc>
          <w:tcPr>
            <w:tcW w:w="410" w:type="pct"/>
            <w:hideMark/>
          </w:tcPr>
          <w:p w14:paraId="65ECA4D3" w14:textId="77777777" w:rsidR="00931F10" w:rsidRPr="00D77DA8" w:rsidRDefault="00931F10" w:rsidP="00C83E0B">
            <w:pPr>
              <w:pStyle w:val="DHHStabletext9pt"/>
              <w:rPr>
                <w:color w:val="000000"/>
              </w:rPr>
            </w:pPr>
            <w:r w:rsidRPr="00D77DA8">
              <w:rPr>
                <w:color w:val="000000"/>
              </w:rPr>
              <w:t>Loddon Mallee - Bendigo Health</w:t>
            </w:r>
          </w:p>
        </w:tc>
        <w:tc>
          <w:tcPr>
            <w:tcW w:w="373" w:type="pct"/>
            <w:hideMark/>
          </w:tcPr>
          <w:p w14:paraId="427C2033" w14:textId="77777777" w:rsidR="00931F10" w:rsidRPr="00D77DA8" w:rsidRDefault="00931F10" w:rsidP="00C83E0B">
            <w:pPr>
              <w:pStyle w:val="DHHStabletext9pt"/>
              <w:rPr>
                <w:color w:val="000000"/>
              </w:rPr>
            </w:pPr>
            <w:r w:rsidRPr="00D77DA8">
              <w:rPr>
                <w:color w:val="000000"/>
              </w:rPr>
              <w:t>Yes</w:t>
            </w:r>
          </w:p>
        </w:tc>
      </w:tr>
      <w:tr w:rsidR="00C83E0B" w:rsidRPr="003A1EF9" w14:paraId="5ACA6600" w14:textId="77777777" w:rsidTr="00856F51">
        <w:trPr>
          <w:trHeight w:val="915"/>
        </w:trPr>
        <w:tc>
          <w:tcPr>
            <w:tcW w:w="383" w:type="pct"/>
            <w:hideMark/>
          </w:tcPr>
          <w:p w14:paraId="30CC2B0D" w14:textId="77777777" w:rsidR="00931F10" w:rsidRPr="00D77DA8" w:rsidRDefault="00931F10" w:rsidP="00C83E0B">
            <w:pPr>
              <w:pStyle w:val="DHHStabletext9pt"/>
            </w:pPr>
            <w:r w:rsidRPr="00D77DA8">
              <w:t>Glen Eira City</w:t>
            </w:r>
          </w:p>
        </w:tc>
        <w:tc>
          <w:tcPr>
            <w:tcW w:w="2209" w:type="pct"/>
            <w:hideMark/>
          </w:tcPr>
          <w:p w14:paraId="239C4F64" w14:textId="77777777" w:rsidR="00931F10" w:rsidRPr="00D77DA8" w:rsidRDefault="00931F10" w:rsidP="00C83E0B">
            <w:pPr>
              <w:pStyle w:val="DHHStabletext9pt"/>
              <w:rPr>
                <w:color w:val="000000"/>
              </w:rPr>
            </w:pPr>
            <w:r w:rsidRPr="64F426C5">
              <w:rPr>
                <w:rFonts w:cstheme="minorBidi"/>
                <w:color w:val="000000" w:themeColor="text1"/>
              </w:rPr>
              <w:t>Bentleigh, Bentleigh East, Brighton East, Carnegie, Caulfield, Caulfield East, Caulfield North, Caulfield South, Coatesville, Elsternwick, Gardenvale, Glen Huntly, Hopetoun Gardens, Mckinnon, Murrumbeena, Ormond, Patterson and St Kilda East</w:t>
            </w:r>
          </w:p>
        </w:tc>
        <w:tc>
          <w:tcPr>
            <w:tcW w:w="328" w:type="pct"/>
            <w:hideMark/>
          </w:tcPr>
          <w:p w14:paraId="3E9E759C" w14:textId="77777777" w:rsidR="00931F10" w:rsidRPr="00D77DA8" w:rsidRDefault="00931F10" w:rsidP="00C83E0B">
            <w:pPr>
              <w:pStyle w:val="DHHStabletext9pt"/>
              <w:rPr>
                <w:color w:val="000000"/>
              </w:rPr>
            </w:pPr>
            <w:r w:rsidRPr="00D77DA8">
              <w:rPr>
                <w:color w:val="000000"/>
              </w:rPr>
              <w:t>Bayside Peninsula Area (BPA)</w:t>
            </w:r>
          </w:p>
        </w:tc>
        <w:tc>
          <w:tcPr>
            <w:tcW w:w="321" w:type="pct"/>
            <w:hideMark/>
          </w:tcPr>
          <w:p w14:paraId="6012CA0C"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4BDE092C" w14:textId="77777777" w:rsidR="00931F10" w:rsidRPr="00D77DA8" w:rsidRDefault="00931F10" w:rsidP="00C83E0B">
            <w:pPr>
              <w:pStyle w:val="DHHStabletext9pt"/>
              <w:rPr>
                <w:rFonts w:cstheme="minorBidi"/>
                <w:color w:val="000000"/>
              </w:rPr>
            </w:pPr>
            <w:r w:rsidRPr="76CA946F">
              <w:rPr>
                <w:rFonts w:cstheme="minorBidi"/>
                <w:color w:val="000000" w:themeColor="text1"/>
              </w:rPr>
              <w:t xml:space="preserve">Bayside Peninsula  Middle </w:t>
            </w:r>
          </w:p>
        </w:tc>
        <w:tc>
          <w:tcPr>
            <w:tcW w:w="330" w:type="pct"/>
            <w:hideMark/>
          </w:tcPr>
          <w:p w14:paraId="2012BC85" w14:textId="77777777" w:rsidR="00931F10" w:rsidRPr="00D77DA8" w:rsidRDefault="00931F10" w:rsidP="00C83E0B">
            <w:pPr>
              <w:pStyle w:val="DHHStabletext9pt"/>
              <w:rPr>
                <w:color w:val="000000"/>
              </w:rPr>
            </w:pPr>
            <w:r w:rsidRPr="00FA3439">
              <w:rPr>
                <w:color w:val="000000"/>
              </w:rPr>
              <w:t>Connect</w:t>
            </w:r>
            <w:r>
              <w:rPr>
                <w:color w:val="000000"/>
              </w:rPr>
              <w:t xml:space="preserve"> </w:t>
            </w:r>
            <w:r w:rsidRPr="00FA3439">
              <w:rPr>
                <w:color w:val="000000"/>
              </w:rPr>
              <w:t>Health</w:t>
            </w:r>
          </w:p>
        </w:tc>
        <w:tc>
          <w:tcPr>
            <w:tcW w:w="301" w:type="pct"/>
            <w:hideMark/>
          </w:tcPr>
          <w:p w14:paraId="09D70480"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18D44F3C"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23F07522" w14:textId="77777777" w:rsidR="00931F10" w:rsidRPr="00D77DA8" w:rsidRDefault="00931F10" w:rsidP="00C83E0B">
            <w:pPr>
              <w:pStyle w:val="DHHStabletext9pt"/>
              <w:rPr>
                <w:color w:val="000000"/>
              </w:rPr>
            </w:pPr>
            <w:r w:rsidRPr="00D77DA8">
              <w:rPr>
                <w:color w:val="000000"/>
              </w:rPr>
              <w:t>Yes</w:t>
            </w:r>
          </w:p>
        </w:tc>
      </w:tr>
      <w:tr w:rsidR="00C83E0B" w:rsidRPr="003A1EF9" w14:paraId="3DCEDBDB" w14:textId="77777777" w:rsidTr="00856F51">
        <w:trPr>
          <w:trHeight w:val="1797"/>
        </w:trPr>
        <w:tc>
          <w:tcPr>
            <w:tcW w:w="383" w:type="pct"/>
            <w:hideMark/>
          </w:tcPr>
          <w:p w14:paraId="21B8073C" w14:textId="77777777" w:rsidR="00931F10" w:rsidRPr="00D77DA8" w:rsidRDefault="00931F10" w:rsidP="00C83E0B">
            <w:pPr>
              <w:pStyle w:val="DHHStabletext9pt"/>
            </w:pPr>
            <w:r w:rsidRPr="00D77DA8">
              <w:t>Glenelg Shire</w:t>
            </w:r>
          </w:p>
        </w:tc>
        <w:tc>
          <w:tcPr>
            <w:tcW w:w="2209" w:type="pct"/>
            <w:hideMark/>
          </w:tcPr>
          <w:p w14:paraId="2BFA5E97" w14:textId="77777777" w:rsidR="00931F10" w:rsidRPr="00D77DA8" w:rsidRDefault="00931F10" w:rsidP="00C83E0B">
            <w:pPr>
              <w:pStyle w:val="DHHStabletext9pt"/>
              <w:rPr>
                <w:color w:val="000000"/>
              </w:rPr>
            </w:pPr>
            <w:r w:rsidRPr="00D77DA8">
              <w:rPr>
                <w:color w:val="000000"/>
              </w:rPr>
              <w:t>Allestree; Bahgallah; Bessiebelle; Bolwarra; Branxholme; Breakaway Creek; Brimboal; Cape Bridgewater; Carapook; Cashmore; Casterton; Chetwynd; Clover Flat; Condah; Corndale; Dartmoor; Dergholm; Digby; Drik Drik; Drumborg; Dunrobin; Dutton Way; Gorae; Gorae West; Grassdale; Greenwald; Heathmere; Henty; Heywood; Homerton; Hotspur; Killara (Glenelg); Lake Condah; Lake Mundi; Lindsay; Lyons; Merino; Milltown; Mount Richmond; Mumbannar; Muntham; Myamyn; Nangeela; Nareen; Narrawong; Nelson; Paschendale; Portland; Portland North; Portland West; Sandford; Strathdownie; Tahara; Tahara Bridge; Tahara West; Tyrendarra; Wallacedale; Wando Bridge; Wando Vale; Warrock; Winnap</w:t>
            </w:r>
          </w:p>
        </w:tc>
        <w:tc>
          <w:tcPr>
            <w:tcW w:w="328" w:type="pct"/>
            <w:hideMark/>
          </w:tcPr>
          <w:p w14:paraId="3F0B9FDF" w14:textId="77777777" w:rsidR="00931F10" w:rsidRPr="00D77DA8" w:rsidRDefault="00931F10" w:rsidP="00C83E0B">
            <w:pPr>
              <w:pStyle w:val="DHHStabletext9pt"/>
              <w:rPr>
                <w:color w:val="000000"/>
              </w:rPr>
            </w:pPr>
            <w:r w:rsidRPr="00D77DA8">
              <w:rPr>
                <w:color w:val="000000"/>
              </w:rPr>
              <w:t>Wimmera South West</w:t>
            </w:r>
          </w:p>
        </w:tc>
        <w:tc>
          <w:tcPr>
            <w:tcW w:w="321" w:type="pct"/>
            <w:hideMark/>
          </w:tcPr>
          <w:p w14:paraId="3C00FFC2"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0D6095D6" w14:textId="77777777" w:rsidR="00931F10" w:rsidRPr="00D77DA8" w:rsidRDefault="00931F10" w:rsidP="00C83E0B">
            <w:pPr>
              <w:pStyle w:val="DHHStabletext9pt"/>
              <w:rPr>
                <w:color w:val="000000"/>
              </w:rPr>
            </w:pPr>
            <w:r w:rsidRPr="00D77DA8">
              <w:rPr>
                <w:color w:val="000000"/>
              </w:rPr>
              <w:t>WSW - South West</w:t>
            </w:r>
          </w:p>
        </w:tc>
        <w:tc>
          <w:tcPr>
            <w:tcW w:w="330" w:type="pct"/>
            <w:hideMark/>
          </w:tcPr>
          <w:p w14:paraId="4D60FCD9" w14:textId="77777777" w:rsidR="00931F10" w:rsidRPr="00D77DA8" w:rsidRDefault="00931F10" w:rsidP="00C83E0B">
            <w:pPr>
              <w:pStyle w:val="DHHStabletext9pt"/>
              <w:rPr>
                <w:color w:val="000000"/>
              </w:rPr>
            </w:pPr>
            <w:r w:rsidRPr="00FA3439">
              <w:rPr>
                <w:color w:val="000000"/>
              </w:rPr>
              <w:t>South West Health Care</w:t>
            </w:r>
          </w:p>
        </w:tc>
        <w:tc>
          <w:tcPr>
            <w:tcW w:w="301" w:type="pct"/>
            <w:hideMark/>
          </w:tcPr>
          <w:p w14:paraId="1CD0DCF6"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13B991D3"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511C17EE" w14:textId="77777777" w:rsidR="00931F10" w:rsidRPr="00D77DA8" w:rsidRDefault="00931F10" w:rsidP="00C83E0B">
            <w:pPr>
              <w:pStyle w:val="DHHStabletext9pt"/>
              <w:rPr>
                <w:color w:val="000000"/>
              </w:rPr>
            </w:pPr>
            <w:r w:rsidRPr="00D77DA8">
              <w:rPr>
                <w:color w:val="000000"/>
              </w:rPr>
              <w:t>Yes</w:t>
            </w:r>
          </w:p>
        </w:tc>
      </w:tr>
      <w:tr w:rsidR="00C83E0B" w:rsidRPr="003A1EF9" w14:paraId="29F0FA23" w14:textId="77777777" w:rsidTr="00856F51">
        <w:trPr>
          <w:trHeight w:val="1808"/>
        </w:trPr>
        <w:tc>
          <w:tcPr>
            <w:tcW w:w="383" w:type="pct"/>
            <w:hideMark/>
          </w:tcPr>
          <w:p w14:paraId="43D52498" w14:textId="77777777" w:rsidR="00931F10" w:rsidRPr="00D77DA8" w:rsidRDefault="00931F10" w:rsidP="00C83E0B">
            <w:pPr>
              <w:pStyle w:val="DHHStabletext9pt"/>
            </w:pPr>
            <w:r w:rsidRPr="00D77DA8">
              <w:lastRenderedPageBreak/>
              <w:t>Golden Plains Shire</w:t>
            </w:r>
          </w:p>
        </w:tc>
        <w:tc>
          <w:tcPr>
            <w:tcW w:w="2209" w:type="pct"/>
            <w:hideMark/>
          </w:tcPr>
          <w:p w14:paraId="62E9B25C" w14:textId="77777777" w:rsidR="00931F10" w:rsidRPr="00D77DA8" w:rsidRDefault="00931F10" w:rsidP="00C83E0B">
            <w:pPr>
              <w:pStyle w:val="DHHStabletext9pt"/>
              <w:rPr>
                <w:color w:val="000000"/>
              </w:rPr>
            </w:pPr>
            <w:r w:rsidRPr="00D77DA8">
              <w:rPr>
                <w:color w:val="000000"/>
              </w:rPr>
              <w:t>Anakie; Bamganie; Bannockburn; Barunah Park; Batesford; Berringa; Berrybank; Cambrian Hill; Cape Clear; Corindhap; Cressy; Dereel; Durdidwarrah; Durham Lead; Enfield; Garibaldi; Gheringhap; Grenville; Haddon; Happy Valley (Ballarat); Hesse; Illabarook; Inverleigh; Lethbridge; Linton; Mannibadar; Maude; Meredith; Morrisons; Mount Bute; Mount Mercer; Murgheboluc; Napoleons; Newtown (Ballarat); Nintingbool; Piggoreet; Pitfield; Pittong; Rokewood; Rokewood Junction; Ross Creek; Russells Bridge; Scarsdale; She Oaks; Shelford; Smythes Creek; Smythesdale; Springdallah; Staffordshire Reef; Steiglitz; Stonehaven; Sutherlands Creek; Teesdale; Wallinduc; Werneth; Willowvale; Wingeel</w:t>
            </w:r>
          </w:p>
        </w:tc>
        <w:tc>
          <w:tcPr>
            <w:tcW w:w="328" w:type="pct"/>
            <w:hideMark/>
          </w:tcPr>
          <w:p w14:paraId="3A6C56C7" w14:textId="77777777" w:rsidR="00931F10" w:rsidRPr="00D77DA8" w:rsidRDefault="00931F10" w:rsidP="00C83E0B">
            <w:pPr>
              <w:pStyle w:val="DHHStabletext9pt"/>
              <w:rPr>
                <w:color w:val="000000"/>
              </w:rPr>
            </w:pPr>
            <w:r w:rsidRPr="00D77DA8">
              <w:rPr>
                <w:color w:val="000000"/>
              </w:rPr>
              <w:t>Central Highlands</w:t>
            </w:r>
          </w:p>
        </w:tc>
        <w:tc>
          <w:tcPr>
            <w:tcW w:w="321" w:type="pct"/>
            <w:hideMark/>
          </w:tcPr>
          <w:p w14:paraId="6949E496"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52D33598" w14:textId="77777777" w:rsidR="00931F10" w:rsidRPr="00D77DA8" w:rsidRDefault="00931F10" w:rsidP="00C83E0B">
            <w:pPr>
              <w:pStyle w:val="DHHStabletext9pt"/>
              <w:rPr>
                <w:color w:val="000000"/>
              </w:rPr>
            </w:pPr>
            <w:r w:rsidRPr="00D77DA8">
              <w:rPr>
                <w:color w:val="000000"/>
              </w:rPr>
              <w:t>Central Highlands</w:t>
            </w:r>
          </w:p>
        </w:tc>
        <w:tc>
          <w:tcPr>
            <w:tcW w:w="330" w:type="pct"/>
            <w:hideMark/>
          </w:tcPr>
          <w:p w14:paraId="0BBBDFAA" w14:textId="77777777" w:rsidR="00931F10" w:rsidRPr="00D77DA8" w:rsidRDefault="00931F10" w:rsidP="00C83E0B">
            <w:pPr>
              <w:pStyle w:val="DHHStabletext9pt"/>
              <w:rPr>
                <w:color w:val="000000"/>
              </w:rPr>
            </w:pPr>
            <w:r w:rsidRPr="00D77DA8">
              <w:rPr>
                <w:color w:val="000000"/>
              </w:rPr>
              <w:t>Ballarat Health Services</w:t>
            </w:r>
          </w:p>
        </w:tc>
        <w:tc>
          <w:tcPr>
            <w:tcW w:w="301" w:type="pct"/>
            <w:hideMark/>
          </w:tcPr>
          <w:p w14:paraId="41802F42"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6DA1E126"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76475767" w14:textId="77777777" w:rsidR="00931F10" w:rsidRPr="00D77DA8" w:rsidRDefault="00931F10" w:rsidP="00C83E0B">
            <w:pPr>
              <w:pStyle w:val="DHHStabletext9pt"/>
              <w:rPr>
                <w:color w:val="000000"/>
              </w:rPr>
            </w:pPr>
            <w:r w:rsidRPr="00D77DA8">
              <w:rPr>
                <w:color w:val="000000"/>
              </w:rPr>
              <w:t>Yes</w:t>
            </w:r>
          </w:p>
        </w:tc>
      </w:tr>
      <w:tr w:rsidR="00C83E0B" w:rsidRPr="003A1EF9" w14:paraId="43D08233" w14:textId="77777777" w:rsidTr="00856F51">
        <w:trPr>
          <w:trHeight w:val="2327"/>
        </w:trPr>
        <w:tc>
          <w:tcPr>
            <w:tcW w:w="383" w:type="pct"/>
            <w:hideMark/>
          </w:tcPr>
          <w:p w14:paraId="1CB8E3F6" w14:textId="77777777" w:rsidR="00931F10" w:rsidRPr="00D77DA8" w:rsidRDefault="00931F10" w:rsidP="00C83E0B">
            <w:pPr>
              <w:pStyle w:val="DHHStabletext9pt"/>
            </w:pPr>
            <w:r w:rsidRPr="00D77DA8">
              <w:t>Greater Bendigo City</w:t>
            </w:r>
          </w:p>
        </w:tc>
        <w:tc>
          <w:tcPr>
            <w:tcW w:w="2209" w:type="pct"/>
            <w:hideMark/>
          </w:tcPr>
          <w:p w14:paraId="7C0E26A3" w14:textId="77777777" w:rsidR="00931F10" w:rsidRPr="00D77DA8" w:rsidRDefault="00931F10" w:rsidP="00C83E0B">
            <w:pPr>
              <w:pStyle w:val="DHHStabletext9pt"/>
              <w:rPr>
                <w:color w:val="000000"/>
              </w:rPr>
            </w:pPr>
            <w:r w:rsidRPr="00D77DA8">
              <w:rPr>
                <w:color w:val="000000"/>
              </w:rPr>
              <w:t>Argyle; Ascot (Bendigo); Avonmore; Axe Creek; Axedale; Bagshot; Bagshot North; Barnadown; Bendigo; Big Hill (Bendigo); California Gully; Costerfield; Derrinal; Drummartin; Eaglehawk; Eaglehawk North; East Bendigo; Elmore; Emu Creek; Eppalock; Epsom; Flora Hill; Fosterville; Golden Gully; Golden Square; Goornong; Harcourt North; Heathcote; Hunter; Huntly; Huntly North; Ironbark; Jackass Flat; Junortoun; Kamarooka; Kangaroo Flat; Kennington; Kimbolton; Knowsley; Ladys Pass; Lake Eppalock; Leichardt; Lockwood; Lockwood South; Long Gully; Longlea; Lyal; Maiden Gully; Mandurang; Mandurang South; Marong; Mia Mia; Mount Camel; Myers Flat; Myrtle Creek; Neilborough; North Bendigo; Quarry Hill; Ravenswood; Raywood; Redcastle; Redesdale; Sailors Gully; Sebastian; Sedgwick; Shelbourne; Spring Gully; Strathdale; Strathfieldsaye; Toolleen; Wellsford; West Bendigo; Whipstick; White Hills; Wilsons Hill; Woodvale;</w:t>
            </w:r>
          </w:p>
        </w:tc>
        <w:tc>
          <w:tcPr>
            <w:tcW w:w="328" w:type="pct"/>
            <w:hideMark/>
          </w:tcPr>
          <w:p w14:paraId="45ED25FD" w14:textId="77777777" w:rsidR="00931F10" w:rsidRPr="00D77DA8" w:rsidRDefault="00931F10" w:rsidP="00C83E0B">
            <w:pPr>
              <w:pStyle w:val="DHHStabletext9pt"/>
              <w:rPr>
                <w:color w:val="000000"/>
              </w:rPr>
            </w:pPr>
            <w:r w:rsidRPr="00D77DA8">
              <w:rPr>
                <w:color w:val="000000"/>
              </w:rPr>
              <w:t>Loddon</w:t>
            </w:r>
          </w:p>
        </w:tc>
        <w:tc>
          <w:tcPr>
            <w:tcW w:w="321" w:type="pct"/>
            <w:hideMark/>
          </w:tcPr>
          <w:p w14:paraId="35D72E9B"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1B23C607" w14:textId="77777777" w:rsidR="00931F10" w:rsidRPr="00D77DA8" w:rsidRDefault="00931F10" w:rsidP="00C83E0B">
            <w:pPr>
              <w:pStyle w:val="DHHStabletext9pt"/>
              <w:rPr>
                <w:color w:val="000000"/>
              </w:rPr>
            </w:pPr>
            <w:r w:rsidRPr="00D77DA8">
              <w:rPr>
                <w:color w:val="000000"/>
              </w:rPr>
              <w:t>Loddon</w:t>
            </w:r>
          </w:p>
        </w:tc>
        <w:tc>
          <w:tcPr>
            <w:tcW w:w="330" w:type="pct"/>
            <w:hideMark/>
          </w:tcPr>
          <w:p w14:paraId="4670CC97" w14:textId="77777777" w:rsidR="00931F10" w:rsidRPr="00D77DA8" w:rsidRDefault="00931F10" w:rsidP="00C83E0B">
            <w:pPr>
              <w:pStyle w:val="DHHStabletext9pt"/>
              <w:rPr>
                <w:color w:val="000000"/>
              </w:rPr>
            </w:pPr>
            <w:r w:rsidRPr="00730630">
              <w:rPr>
                <w:color w:val="000000"/>
              </w:rPr>
              <w:t>Bendigo Community Health Service</w:t>
            </w:r>
          </w:p>
        </w:tc>
        <w:tc>
          <w:tcPr>
            <w:tcW w:w="301" w:type="pct"/>
            <w:hideMark/>
          </w:tcPr>
          <w:p w14:paraId="706592B8" w14:textId="77777777" w:rsidR="00931F10" w:rsidRPr="00D77DA8" w:rsidRDefault="00931F10" w:rsidP="00C83E0B">
            <w:pPr>
              <w:pStyle w:val="DHHStabletext9pt"/>
              <w:rPr>
                <w:color w:val="000000"/>
              </w:rPr>
            </w:pPr>
            <w:r w:rsidRPr="00D77DA8">
              <w:rPr>
                <w:color w:val="000000"/>
              </w:rPr>
              <w:t>Bendigo Health</w:t>
            </w:r>
          </w:p>
        </w:tc>
        <w:tc>
          <w:tcPr>
            <w:tcW w:w="410" w:type="pct"/>
            <w:hideMark/>
          </w:tcPr>
          <w:p w14:paraId="03BAA332" w14:textId="77777777" w:rsidR="00931F10" w:rsidRPr="00D77DA8" w:rsidRDefault="00931F10" w:rsidP="00C83E0B">
            <w:pPr>
              <w:pStyle w:val="DHHStabletext9pt"/>
              <w:rPr>
                <w:color w:val="000000"/>
              </w:rPr>
            </w:pPr>
            <w:r w:rsidRPr="00D77DA8">
              <w:rPr>
                <w:color w:val="000000"/>
              </w:rPr>
              <w:t>Loddon Mallee - Bendigo Health</w:t>
            </w:r>
          </w:p>
        </w:tc>
        <w:tc>
          <w:tcPr>
            <w:tcW w:w="373" w:type="pct"/>
            <w:hideMark/>
          </w:tcPr>
          <w:p w14:paraId="2A135C81" w14:textId="77777777" w:rsidR="00931F10" w:rsidRPr="00D77DA8" w:rsidRDefault="00931F10" w:rsidP="00C83E0B">
            <w:pPr>
              <w:pStyle w:val="DHHStabletext9pt"/>
              <w:rPr>
                <w:color w:val="000000"/>
              </w:rPr>
            </w:pPr>
            <w:r w:rsidRPr="00D77DA8">
              <w:rPr>
                <w:color w:val="000000"/>
              </w:rPr>
              <w:t>Yes</w:t>
            </w:r>
          </w:p>
        </w:tc>
      </w:tr>
      <w:tr w:rsidR="00C83E0B" w:rsidRPr="003A1EF9" w14:paraId="2454E9A9" w14:textId="77777777" w:rsidTr="00856F51">
        <w:trPr>
          <w:trHeight w:val="484"/>
        </w:trPr>
        <w:tc>
          <w:tcPr>
            <w:tcW w:w="383" w:type="pct"/>
            <w:hideMark/>
          </w:tcPr>
          <w:p w14:paraId="311FC75A" w14:textId="77777777" w:rsidR="00931F10" w:rsidRPr="00D77DA8" w:rsidRDefault="00931F10" w:rsidP="00C83E0B">
            <w:pPr>
              <w:pStyle w:val="DHHStabletext9pt"/>
            </w:pPr>
            <w:r w:rsidRPr="00D77DA8">
              <w:t>Greater Dandenong City</w:t>
            </w:r>
          </w:p>
        </w:tc>
        <w:tc>
          <w:tcPr>
            <w:tcW w:w="2209" w:type="pct"/>
            <w:hideMark/>
          </w:tcPr>
          <w:p w14:paraId="2B2FA5F5" w14:textId="77777777" w:rsidR="00931F10" w:rsidRPr="00D77DA8" w:rsidRDefault="00931F10" w:rsidP="00C83E0B">
            <w:pPr>
              <w:pStyle w:val="DHHStabletext9pt"/>
              <w:rPr>
                <w:color w:val="000000"/>
              </w:rPr>
            </w:pPr>
            <w:r w:rsidRPr="00D77DA8">
              <w:rPr>
                <w:color w:val="000000"/>
              </w:rPr>
              <w:t>Bangholme, Dandenong, Dandenong North, Dandenong South, Keysborough, Lyndhurst, Noble Park, Noble Park North, Springvale And Springvale South</w:t>
            </w:r>
          </w:p>
        </w:tc>
        <w:tc>
          <w:tcPr>
            <w:tcW w:w="328" w:type="pct"/>
            <w:hideMark/>
          </w:tcPr>
          <w:p w14:paraId="5DFE6ECF" w14:textId="77777777" w:rsidR="00931F10" w:rsidRPr="00D77DA8" w:rsidRDefault="00931F10" w:rsidP="00C83E0B">
            <w:pPr>
              <w:pStyle w:val="DHHStabletext9pt"/>
              <w:rPr>
                <w:color w:val="000000"/>
              </w:rPr>
            </w:pPr>
            <w:r w:rsidRPr="00D77DA8">
              <w:rPr>
                <w:color w:val="000000"/>
              </w:rPr>
              <w:t>Southern Melbourne Area (SMA)</w:t>
            </w:r>
          </w:p>
        </w:tc>
        <w:tc>
          <w:tcPr>
            <w:tcW w:w="321" w:type="pct"/>
            <w:hideMark/>
          </w:tcPr>
          <w:p w14:paraId="04EDEDFE"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36CFE73D" w14:textId="77777777" w:rsidR="00931F10" w:rsidRPr="00D77DA8" w:rsidRDefault="00931F10" w:rsidP="00C83E0B">
            <w:pPr>
              <w:pStyle w:val="DHHStabletext9pt"/>
              <w:rPr>
                <w:color w:val="000000"/>
              </w:rPr>
            </w:pPr>
            <w:r w:rsidRPr="00D77DA8">
              <w:rPr>
                <w:color w:val="000000"/>
              </w:rPr>
              <w:t>Southern Melbourne</w:t>
            </w:r>
          </w:p>
        </w:tc>
        <w:tc>
          <w:tcPr>
            <w:tcW w:w="330" w:type="pct"/>
            <w:hideMark/>
          </w:tcPr>
          <w:p w14:paraId="60E6F151" w14:textId="77777777" w:rsidR="00931F10" w:rsidRPr="00D77DA8" w:rsidRDefault="00931F10" w:rsidP="00C83E0B">
            <w:pPr>
              <w:pStyle w:val="DHHStabletext9pt"/>
              <w:rPr>
                <w:color w:val="000000"/>
              </w:rPr>
            </w:pPr>
            <w:r w:rsidRPr="00730630">
              <w:rPr>
                <w:color w:val="000000"/>
              </w:rPr>
              <w:t>EACH</w:t>
            </w:r>
          </w:p>
        </w:tc>
        <w:tc>
          <w:tcPr>
            <w:tcW w:w="301" w:type="pct"/>
            <w:hideMark/>
          </w:tcPr>
          <w:p w14:paraId="16C48852"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0CAE67BE"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19CE8F1C" w14:textId="77777777" w:rsidR="00931F10" w:rsidRPr="00D77DA8" w:rsidRDefault="00931F10" w:rsidP="00C83E0B">
            <w:pPr>
              <w:pStyle w:val="DHHStabletext9pt"/>
              <w:rPr>
                <w:color w:val="000000"/>
              </w:rPr>
            </w:pPr>
            <w:r w:rsidRPr="00D77DA8">
              <w:rPr>
                <w:color w:val="000000"/>
              </w:rPr>
              <w:t>Yes</w:t>
            </w:r>
          </w:p>
        </w:tc>
      </w:tr>
      <w:tr w:rsidR="00C83E0B" w:rsidRPr="003A1EF9" w14:paraId="5C33650E" w14:textId="77777777" w:rsidTr="00856F51">
        <w:trPr>
          <w:trHeight w:val="1760"/>
        </w:trPr>
        <w:tc>
          <w:tcPr>
            <w:tcW w:w="383" w:type="pct"/>
            <w:hideMark/>
          </w:tcPr>
          <w:p w14:paraId="6894AC9E" w14:textId="77777777" w:rsidR="00931F10" w:rsidRPr="00D77DA8" w:rsidRDefault="00931F10" w:rsidP="00C83E0B">
            <w:pPr>
              <w:pStyle w:val="DHHStabletext9pt"/>
            </w:pPr>
            <w:r w:rsidRPr="00D77DA8">
              <w:t>Greater Geelong City</w:t>
            </w:r>
          </w:p>
        </w:tc>
        <w:tc>
          <w:tcPr>
            <w:tcW w:w="2209" w:type="pct"/>
            <w:hideMark/>
          </w:tcPr>
          <w:p w14:paraId="2AAF1A64" w14:textId="77777777" w:rsidR="00931F10" w:rsidRPr="00D77DA8" w:rsidRDefault="00931F10" w:rsidP="00C83E0B">
            <w:pPr>
              <w:pStyle w:val="DHHStabletext9pt"/>
              <w:rPr>
                <w:color w:val="000000"/>
              </w:rPr>
            </w:pPr>
            <w:r w:rsidRPr="00D77DA8">
              <w:rPr>
                <w:color w:val="000000"/>
              </w:rPr>
              <w:t>Anakie; Avalon; Balliang; Barwon Heads; Batesford; Bell Park; Bell Post Hill; Bellarine; Belmont; Breakwater; Breamlea; Ceres; Clifton Springs; Connewarre; Corio; Curlewis; Drumcondra; Drysdale; East Geelong; Fyansford; Geelong; Geelong West; Grovedale; Hamlyn Heights; Herne Hill; Highton; Indented Head; Lara; Leopold; Little River; Lovely Banks; Manifold Heights; Mannerim; Marcus Hill; Marshall; Moolap; Moorabool; Mount Duneed; Newcomb; Newtown (Geelong); Norlane; North Geelong; North Shore; Ocean Grove; Point Lonsdale; Point Wilson; Portarlington; Rippleside; South Geelong; St Albans Park; St Leonards; Staughton Vale; Swan Bay; Thomson (Geelong); Wallington; Wandana Heights; Waurn Ponds; Whittington</w:t>
            </w:r>
          </w:p>
        </w:tc>
        <w:tc>
          <w:tcPr>
            <w:tcW w:w="328" w:type="pct"/>
            <w:hideMark/>
          </w:tcPr>
          <w:p w14:paraId="1A9444DF" w14:textId="77777777" w:rsidR="00931F10" w:rsidRPr="00D77DA8" w:rsidRDefault="00931F10" w:rsidP="00C83E0B">
            <w:pPr>
              <w:pStyle w:val="DHHStabletext9pt"/>
              <w:rPr>
                <w:color w:val="000000"/>
              </w:rPr>
            </w:pPr>
            <w:r w:rsidRPr="00D77DA8">
              <w:rPr>
                <w:color w:val="000000"/>
              </w:rPr>
              <w:t>Barwon</w:t>
            </w:r>
          </w:p>
        </w:tc>
        <w:tc>
          <w:tcPr>
            <w:tcW w:w="321" w:type="pct"/>
            <w:hideMark/>
          </w:tcPr>
          <w:p w14:paraId="4522F0FC"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6883C272" w14:textId="77777777" w:rsidR="00931F10" w:rsidRPr="00D77DA8" w:rsidRDefault="00931F10" w:rsidP="00C83E0B">
            <w:pPr>
              <w:pStyle w:val="DHHStabletext9pt"/>
              <w:rPr>
                <w:color w:val="000000"/>
              </w:rPr>
            </w:pPr>
            <w:r w:rsidRPr="00D77DA8">
              <w:rPr>
                <w:color w:val="000000"/>
              </w:rPr>
              <w:t>Barwon</w:t>
            </w:r>
          </w:p>
        </w:tc>
        <w:tc>
          <w:tcPr>
            <w:tcW w:w="330" w:type="pct"/>
            <w:hideMark/>
          </w:tcPr>
          <w:p w14:paraId="21C77385" w14:textId="77777777" w:rsidR="00931F10" w:rsidRPr="00D77DA8" w:rsidRDefault="00931F10" w:rsidP="00C83E0B">
            <w:pPr>
              <w:pStyle w:val="DHHStabletext9pt"/>
              <w:rPr>
                <w:color w:val="000000"/>
              </w:rPr>
            </w:pPr>
            <w:r w:rsidRPr="00D77DA8">
              <w:rPr>
                <w:color w:val="000000"/>
              </w:rPr>
              <w:t>Barwon Health</w:t>
            </w:r>
          </w:p>
        </w:tc>
        <w:tc>
          <w:tcPr>
            <w:tcW w:w="301" w:type="pct"/>
            <w:hideMark/>
          </w:tcPr>
          <w:p w14:paraId="7BA78290"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6448D8EE"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59B6FDCC" w14:textId="77777777" w:rsidR="00931F10" w:rsidRPr="00D77DA8" w:rsidRDefault="00931F10" w:rsidP="00C83E0B">
            <w:pPr>
              <w:pStyle w:val="DHHStabletext9pt"/>
              <w:rPr>
                <w:color w:val="000000"/>
              </w:rPr>
            </w:pPr>
            <w:r w:rsidRPr="00D77DA8">
              <w:rPr>
                <w:color w:val="000000"/>
              </w:rPr>
              <w:t>Yes</w:t>
            </w:r>
          </w:p>
        </w:tc>
      </w:tr>
      <w:tr w:rsidR="00C83E0B" w:rsidRPr="003A1EF9" w14:paraId="1028E903" w14:textId="77777777" w:rsidTr="00856F51">
        <w:trPr>
          <w:trHeight w:val="1798"/>
        </w:trPr>
        <w:tc>
          <w:tcPr>
            <w:tcW w:w="383" w:type="pct"/>
            <w:hideMark/>
          </w:tcPr>
          <w:p w14:paraId="3AB8C425" w14:textId="77777777" w:rsidR="00931F10" w:rsidRPr="00D77DA8" w:rsidRDefault="00931F10" w:rsidP="00C83E0B">
            <w:pPr>
              <w:pStyle w:val="DHHStabletext9pt"/>
            </w:pPr>
            <w:r w:rsidRPr="00D77DA8">
              <w:lastRenderedPageBreak/>
              <w:t>Greater Shepparton City</w:t>
            </w:r>
          </w:p>
        </w:tc>
        <w:tc>
          <w:tcPr>
            <w:tcW w:w="2209" w:type="pct"/>
            <w:hideMark/>
          </w:tcPr>
          <w:p w14:paraId="5D499528" w14:textId="77777777" w:rsidR="00931F10" w:rsidRPr="00D77DA8" w:rsidRDefault="00931F10" w:rsidP="00C83E0B">
            <w:pPr>
              <w:pStyle w:val="DHHStabletext9pt"/>
              <w:rPr>
                <w:color w:val="000000"/>
              </w:rPr>
            </w:pPr>
            <w:r w:rsidRPr="00D77DA8">
              <w:rPr>
                <w:color w:val="000000"/>
              </w:rPr>
              <w:t>Arcadia, Ardmona, Boxwood (Part), Bunbartha, Byrneside, Caniambo, Congupna, Cooma, Coomboona, Cosgrove, Cosgrove South, Dhurringile, Dookie, Dookie College, Gillieston, Girgarre East, Gowangardie, Grahamvale, Harston, Karramomus, Katandra, Katandra West, Kialla, Kialla East, Kialla West, Kyabram (The Rural Part Not The Town), Kyabram South, Lancaster (Part), Lemnos, Major Plains (Part), Marionvale, Marungi (Part), Merrigum, Moorilim (Part), Mooroopna, Mooroopna North, Mooroopna North West, Mount Major, Murchison, Murchison East, Murchison North, Nalinga (Part), Orrvale, Pine Lodge, Shepparton, Shepparton East, Shepparton North, St Germains, Stanhope South, Stewarton (Part), Tallygaroopna, Tamleugh North, Tatura, Tatura East, Toolamba, Toolamba West, Undera, Violet Town (Part), Waranga, Wyuna (Part), Zeerus</w:t>
            </w:r>
          </w:p>
        </w:tc>
        <w:tc>
          <w:tcPr>
            <w:tcW w:w="328" w:type="pct"/>
            <w:hideMark/>
          </w:tcPr>
          <w:p w14:paraId="6AEC17F0" w14:textId="77777777" w:rsidR="00931F10" w:rsidRPr="00D77DA8" w:rsidRDefault="00931F10" w:rsidP="00C83E0B">
            <w:pPr>
              <w:pStyle w:val="DHHStabletext9pt"/>
              <w:rPr>
                <w:color w:val="000000"/>
              </w:rPr>
            </w:pPr>
            <w:r w:rsidRPr="00D77DA8">
              <w:rPr>
                <w:color w:val="000000"/>
              </w:rPr>
              <w:t xml:space="preserve">Goulburn </w:t>
            </w:r>
          </w:p>
        </w:tc>
        <w:tc>
          <w:tcPr>
            <w:tcW w:w="321" w:type="pct"/>
            <w:hideMark/>
          </w:tcPr>
          <w:p w14:paraId="7E5F4E6A"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29503F01" w14:textId="77777777" w:rsidR="00931F10" w:rsidRPr="00D77DA8" w:rsidRDefault="00931F10" w:rsidP="00C83E0B">
            <w:pPr>
              <w:pStyle w:val="DHHStabletext9pt"/>
              <w:rPr>
                <w:color w:val="000000"/>
              </w:rPr>
            </w:pPr>
            <w:r w:rsidRPr="00D77DA8">
              <w:rPr>
                <w:color w:val="000000"/>
              </w:rPr>
              <w:t xml:space="preserve">Goulburn </w:t>
            </w:r>
          </w:p>
        </w:tc>
        <w:tc>
          <w:tcPr>
            <w:tcW w:w="330" w:type="pct"/>
            <w:hideMark/>
          </w:tcPr>
          <w:p w14:paraId="068DE501" w14:textId="77777777" w:rsidR="00931F10" w:rsidRPr="00D77DA8" w:rsidRDefault="00931F10" w:rsidP="00C83E0B">
            <w:pPr>
              <w:pStyle w:val="DHHStabletext9pt"/>
              <w:rPr>
                <w:color w:val="000000"/>
              </w:rPr>
            </w:pPr>
            <w:r w:rsidRPr="00384194">
              <w:rPr>
                <w:color w:val="000000"/>
              </w:rPr>
              <w:t>Primary Care Connect</w:t>
            </w:r>
          </w:p>
        </w:tc>
        <w:tc>
          <w:tcPr>
            <w:tcW w:w="301" w:type="pct"/>
            <w:hideMark/>
          </w:tcPr>
          <w:p w14:paraId="0C971076" w14:textId="77777777" w:rsidR="00931F10" w:rsidRPr="00D77DA8" w:rsidRDefault="00931F10" w:rsidP="00C83E0B">
            <w:pPr>
              <w:pStyle w:val="DHHStabletext9pt"/>
              <w:rPr>
                <w:color w:val="000000"/>
              </w:rPr>
            </w:pPr>
            <w:r w:rsidRPr="00D77DA8">
              <w:rPr>
                <w:color w:val="000000"/>
              </w:rPr>
              <w:t>Goulburn Health</w:t>
            </w:r>
          </w:p>
        </w:tc>
        <w:tc>
          <w:tcPr>
            <w:tcW w:w="410" w:type="pct"/>
            <w:hideMark/>
          </w:tcPr>
          <w:p w14:paraId="1A5F4215"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5376D07B" w14:textId="77777777" w:rsidR="00931F10" w:rsidRPr="00D77DA8" w:rsidRDefault="00931F10" w:rsidP="00C83E0B">
            <w:pPr>
              <w:pStyle w:val="DHHStabletext9pt"/>
              <w:rPr>
                <w:color w:val="000000"/>
              </w:rPr>
            </w:pPr>
            <w:r w:rsidRPr="00D77DA8">
              <w:rPr>
                <w:color w:val="000000"/>
              </w:rPr>
              <w:t>Yes</w:t>
            </w:r>
          </w:p>
        </w:tc>
      </w:tr>
      <w:tr w:rsidR="00C83E0B" w:rsidRPr="003A1EF9" w14:paraId="4C9BE03A" w14:textId="77777777" w:rsidTr="00856F51">
        <w:trPr>
          <w:trHeight w:val="2363"/>
        </w:trPr>
        <w:tc>
          <w:tcPr>
            <w:tcW w:w="383" w:type="pct"/>
            <w:hideMark/>
          </w:tcPr>
          <w:p w14:paraId="0C7FC1E7" w14:textId="77777777" w:rsidR="00931F10" w:rsidRPr="00D77DA8" w:rsidRDefault="00931F10" w:rsidP="00C83E0B">
            <w:pPr>
              <w:pStyle w:val="DHHStabletext9pt"/>
            </w:pPr>
            <w:r w:rsidRPr="00D77DA8">
              <w:t>Hepburn Shire</w:t>
            </w:r>
          </w:p>
        </w:tc>
        <w:tc>
          <w:tcPr>
            <w:tcW w:w="2209" w:type="pct"/>
            <w:hideMark/>
          </w:tcPr>
          <w:p w14:paraId="1C3E7C08" w14:textId="77777777" w:rsidR="00931F10" w:rsidRPr="00D77DA8" w:rsidRDefault="00931F10" w:rsidP="00C83E0B">
            <w:pPr>
              <w:pStyle w:val="DHHStabletext9pt"/>
              <w:rPr>
                <w:color w:val="000000"/>
              </w:rPr>
            </w:pPr>
            <w:r w:rsidRPr="00D77DA8">
              <w:rPr>
                <w:color w:val="000000"/>
              </w:rPr>
              <w:t>Allendale; Bald Hills; Basalt; Blampied; Broomfield; Bullarook; Bullarto; Bullarto South; Cabbage Tree; Campbelltown; Clunes; Clydesdale; Coomoora; Creswick; Creswick North; Daylesford; Dean; Denver; Drummond; Drummond North; Dry Diggings; Dunach; Eganstown; Elevated Plains; Evansford; Fern Hill; Franklinford; Glengower; Glenlyon; Guildford; Hepburn; Hepburn Springs; Invermay; Kingston; Kooroocheang; Korweinguboora; Langdons Hill; Lawrence; Leonards Hill; Little Hampton; Lyonville; Malmsbury; Mollongghip; Mount Beckworth; Mount Cameron; Mount Franklin; Mount Prospect; Musk; Musk Vale; Newbury; Newlyn; Newlyn North; North Blackwood; Porcupine Ridge; Rocklyn; Sailors Falls; Sailors Hill; Shepherds Flat; Smeaton; Smokeytown; Spring Hill; Springmount; Stony Creek (Central Goldfields); Strangways; Sulky; Taradale; Tarilta; Trentham; Trentham East; Tylden; Tylden South; Ullina; Wattle Flat; Waubra; Werona; Wheatsheaf; Yandoit</w:t>
            </w:r>
          </w:p>
        </w:tc>
        <w:tc>
          <w:tcPr>
            <w:tcW w:w="328" w:type="pct"/>
            <w:hideMark/>
          </w:tcPr>
          <w:p w14:paraId="242912D4" w14:textId="77777777" w:rsidR="00931F10" w:rsidRPr="00D77DA8" w:rsidRDefault="00931F10" w:rsidP="00C83E0B">
            <w:pPr>
              <w:pStyle w:val="DHHStabletext9pt"/>
              <w:rPr>
                <w:color w:val="000000"/>
              </w:rPr>
            </w:pPr>
            <w:r w:rsidRPr="00D77DA8">
              <w:rPr>
                <w:color w:val="000000"/>
              </w:rPr>
              <w:t>Central Highlands</w:t>
            </w:r>
          </w:p>
        </w:tc>
        <w:tc>
          <w:tcPr>
            <w:tcW w:w="321" w:type="pct"/>
            <w:hideMark/>
          </w:tcPr>
          <w:p w14:paraId="56C41346"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3B24507A" w14:textId="77777777" w:rsidR="00931F10" w:rsidRPr="00D77DA8" w:rsidRDefault="00931F10" w:rsidP="00C83E0B">
            <w:pPr>
              <w:pStyle w:val="DHHStabletext9pt"/>
              <w:rPr>
                <w:color w:val="000000"/>
              </w:rPr>
            </w:pPr>
            <w:r w:rsidRPr="00D77DA8">
              <w:rPr>
                <w:color w:val="000000"/>
              </w:rPr>
              <w:t>Central Highlands</w:t>
            </w:r>
          </w:p>
        </w:tc>
        <w:tc>
          <w:tcPr>
            <w:tcW w:w="330" w:type="pct"/>
            <w:hideMark/>
          </w:tcPr>
          <w:p w14:paraId="7B302F4F" w14:textId="77777777" w:rsidR="00931F10" w:rsidRPr="00D77DA8" w:rsidRDefault="00931F10" w:rsidP="00C83E0B">
            <w:pPr>
              <w:pStyle w:val="DHHStabletext9pt"/>
              <w:rPr>
                <w:color w:val="000000"/>
              </w:rPr>
            </w:pPr>
            <w:r w:rsidRPr="00D77DA8">
              <w:rPr>
                <w:color w:val="000000"/>
              </w:rPr>
              <w:t>Ballarat Health Services</w:t>
            </w:r>
          </w:p>
        </w:tc>
        <w:tc>
          <w:tcPr>
            <w:tcW w:w="301" w:type="pct"/>
            <w:hideMark/>
          </w:tcPr>
          <w:p w14:paraId="0293E57C"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7ED77C37"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2BC556B3" w14:textId="77777777" w:rsidR="00931F10" w:rsidRPr="00D77DA8" w:rsidRDefault="00931F10" w:rsidP="00C83E0B">
            <w:pPr>
              <w:pStyle w:val="DHHStabletext9pt"/>
              <w:rPr>
                <w:color w:val="000000"/>
              </w:rPr>
            </w:pPr>
            <w:r w:rsidRPr="00D77DA8">
              <w:rPr>
                <w:color w:val="000000"/>
              </w:rPr>
              <w:t>Yes</w:t>
            </w:r>
          </w:p>
        </w:tc>
      </w:tr>
      <w:tr w:rsidR="00C83E0B" w:rsidRPr="003A1EF9" w14:paraId="26057B54" w14:textId="77777777" w:rsidTr="00856F51">
        <w:trPr>
          <w:trHeight w:val="669"/>
        </w:trPr>
        <w:tc>
          <w:tcPr>
            <w:tcW w:w="383" w:type="pct"/>
            <w:hideMark/>
          </w:tcPr>
          <w:p w14:paraId="12F5EAB0" w14:textId="77777777" w:rsidR="00931F10" w:rsidRPr="00D77DA8" w:rsidRDefault="00931F10" w:rsidP="00C83E0B">
            <w:pPr>
              <w:pStyle w:val="DHHStabletext9pt"/>
            </w:pPr>
            <w:r w:rsidRPr="00D77DA8">
              <w:t>Hindmarsh Shire</w:t>
            </w:r>
          </w:p>
        </w:tc>
        <w:tc>
          <w:tcPr>
            <w:tcW w:w="2209" w:type="pct"/>
            <w:hideMark/>
          </w:tcPr>
          <w:p w14:paraId="7F391EB3" w14:textId="77777777" w:rsidR="00931F10" w:rsidRPr="00D77DA8" w:rsidRDefault="00931F10" w:rsidP="00C83E0B">
            <w:pPr>
              <w:pStyle w:val="DHHStabletext9pt"/>
              <w:rPr>
                <w:color w:val="000000"/>
              </w:rPr>
            </w:pPr>
            <w:r w:rsidRPr="00D77DA8">
              <w:rPr>
                <w:color w:val="000000"/>
              </w:rPr>
              <w:t>Albacutya; Antwerp; Big Desert; Broughton; Crymelon; Dimboola; Gerang Gerung; Glenlee; Jeparit; Kaniva; Kenmare; Kiata; Little Desert; Lorquon; Netherby; Nhill; Rainbow; Tarranyurk; Yanac;</w:t>
            </w:r>
          </w:p>
        </w:tc>
        <w:tc>
          <w:tcPr>
            <w:tcW w:w="328" w:type="pct"/>
            <w:hideMark/>
          </w:tcPr>
          <w:p w14:paraId="4D5BC525" w14:textId="77777777" w:rsidR="00931F10" w:rsidRPr="00D77DA8" w:rsidRDefault="00931F10" w:rsidP="00C83E0B">
            <w:pPr>
              <w:pStyle w:val="DHHStabletext9pt"/>
              <w:rPr>
                <w:color w:val="000000"/>
              </w:rPr>
            </w:pPr>
            <w:r w:rsidRPr="00D77DA8">
              <w:rPr>
                <w:color w:val="000000"/>
              </w:rPr>
              <w:t>Wimmera South West</w:t>
            </w:r>
          </w:p>
        </w:tc>
        <w:tc>
          <w:tcPr>
            <w:tcW w:w="321" w:type="pct"/>
            <w:hideMark/>
          </w:tcPr>
          <w:p w14:paraId="54A6E9B1"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22600F8F" w14:textId="77777777" w:rsidR="00931F10" w:rsidRPr="00D77DA8" w:rsidRDefault="00931F10" w:rsidP="00C83E0B">
            <w:pPr>
              <w:pStyle w:val="DHHStabletext9pt"/>
              <w:rPr>
                <w:color w:val="000000"/>
              </w:rPr>
            </w:pPr>
            <w:r w:rsidRPr="00D77DA8">
              <w:rPr>
                <w:color w:val="000000"/>
              </w:rPr>
              <w:t>WSW - Wimmera</w:t>
            </w:r>
          </w:p>
        </w:tc>
        <w:tc>
          <w:tcPr>
            <w:tcW w:w="330" w:type="pct"/>
            <w:hideMark/>
          </w:tcPr>
          <w:p w14:paraId="5A4195C6" w14:textId="77777777" w:rsidR="00931F10" w:rsidRPr="00D77DA8" w:rsidRDefault="00931F10" w:rsidP="00C83E0B">
            <w:pPr>
              <w:pStyle w:val="DHHStabletext9pt"/>
              <w:rPr>
                <w:color w:val="000000"/>
              </w:rPr>
            </w:pPr>
            <w:r w:rsidRPr="00384194">
              <w:rPr>
                <w:color w:val="000000"/>
              </w:rPr>
              <w:t>Grampians Community Health</w:t>
            </w:r>
          </w:p>
        </w:tc>
        <w:tc>
          <w:tcPr>
            <w:tcW w:w="301" w:type="pct"/>
            <w:hideMark/>
          </w:tcPr>
          <w:p w14:paraId="211BA8F2"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3D2D017D"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029EED62" w14:textId="77777777" w:rsidR="00931F10" w:rsidRPr="00D77DA8" w:rsidRDefault="00931F10" w:rsidP="00C83E0B">
            <w:pPr>
              <w:pStyle w:val="DHHStabletext9pt"/>
              <w:rPr>
                <w:color w:val="000000"/>
              </w:rPr>
            </w:pPr>
            <w:r w:rsidRPr="00D77DA8">
              <w:rPr>
                <w:color w:val="000000"/>
              </w:rPr>
              <w:t>Yes</w:t>
            </w:r>
          </w:p>
        </w:tc>
      </w:tr>
      <w:tr w:rsidR="00C83E0B" w:rsidRPr="003A1EF9" w14:paraId="50F044E9" w14:textId="77777777" w:rsidTr="00856F51">
        <w:trPr>
          <w:trHeight w:val="708"/>
        </w:trPr>
        <w:tc>
          <w:tcPr>
            <w:tcW w:w="383" w:type="pct"/>
            <w:hideMark/>
          </w:tcPr>
          <w:p w14:paraId="3B591E3C" w14:textId="77777777" w:rsidR="00931F10" w:rsidRPr="00D77DA8" w:rsidRDefault="00931F10" w:rsidP="00C83E0B">
            <w:pPr>
              <w:pStyle w:val="DHHStabletext9pt"/>
            </w:pPr>
            <w:r w:rsidRPr="00D77DA8">
              <w:t>Hobsons Bay City</w:t>
            </w:r>
          </w:p>
        </w:tc>
        <w:tc>
          <w:tcPr>
            <w:tcW w:w="2209" w:type="pct"/>
            <w:hideMark/>
          </w:tcPr>
          <w:p w14:paraId="64E9B0AC" w14:textId="77777777" w:rsidR="00931F10" w:rsidRPr="00D77DA8" w:rsidRDefault="00931F10" w:rsidP="00C83E0B">
            <w:pPr>
              <w:pStyle w:val="DHHStabletext9pt"/>
              <w:rPr>
                <w:color w:val="000000"/>
              </w:rPr>
            </w:pPr>
            <w:r w:rsidRPr="00D77DA8">
              <w:rPr>
                <w:color w:val="000000"/>
              </w:rPr>
              <w:t>Altona; Altona Meadows; Altona North; Brooklyn; Laverton; Newport; Seabrook; Seaholme; South Kingsville; Spotswood; Williamstown; Williamstown North</w:t>
            </w:r>
          </w:p>
        </w:tc>
        <w:tc>
          <w:tcPr>
            <w:tcW w:w="328" w:type="pct"/>
            <w:hideMark/>
          </w:tcPr>
          <w:p w14:paraId="742B9E42" w14:textId="77777777" w:rsidR="00931F10" w:rsidRPr="00D77DA8" w:rsidRDefault="00931F10" w:rsidP="00C83E0B">
            <w:pPr>
              <w:pStyle w:val="DHHStabletext9pt"/>
              <w:rPr>
                <w:color w:val="000000"/>
              </w:rPr>
            </w:pPr>
            <w:r w:rsidRPr="00D77DA8">
              <w:rPr>
                <w:color w:val="000000"/>
              </w:rPr>
              <w:t>Western Melbourne</w:t>
            </w:r>
          </w:p>
        </w:tc>
        <w:tc>
          <w:tcPr>
            <w:tcW w:w="321" w:type="pct"/>
            <w:hideMark/>
          </w:tcPr>
          <w:p w14:paraId="486339C5"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21AC14B5" w14:textId="77777777" w:rsidR="00931F10" w:rsidRPr="00D77DA8" w:rsidRDefault="00931F10" w:rsidP="00C83E0B">
            <w:pPr>
              <w:pStyle w:val="DHHStabletext9pt"/>
              <w:rPr>
                <w:color w:val="000000"/>
              </w:rPr>
            </w:pPr>
            <w:r w:rsidRPr="00D77DA8">
              <w:rPr>
                <w:color w:val="000000"/>
              </w:rPr>
              <w:t>Western Melbourne</w:t>
            </w:r>
          </w:p>
        </w:tc>
        <w:tc>
          <w:tcPr>
            <w:tcW w:w="330" w:type="pct"/>
            <w:hideMark/>
          </w:tcPr>
          <w:p w14:paraId="61A32AEF" w14:textId="77777777" w:rsidR="00931F10" w:rsidRPr="00D77DA8" w:rsidRDefault="00931F10" w:rsidP="00C83E0B">
            <w:pPr>
              <w:pStyle w:val="DHHStabletext9pt"/>
              <w:rPr>
                <w:color w:val="000000"/>
              </w:rPr>
            </w:pPr>
            <w:r>
              <w:rPr>
                <w:color w:val="000000"/>
              </w:rPr>
              <w:t>C</w:t>
            </w:r>
            <w:r w:rsidRPr="00A06DDF">
              <w:rPr>
                <w:color w:val="000000"/>
              </w:rPr>
              <w:t>ohealth</w:t>
            </w:r>
          </w:p>
        </w:tc>
        <w:tc>
          <w:tcPr>
            <w:tcW w:w="301" w:type="pct"/>
            <w:hideMark/>
          </w:tcPr>
          <w:p w14:paraId="4BB30218" w14:textId="77777777" w:rsidR="00931F10" w:rsidRPr="00D77DA8" w:rsidRDefault="00931F10" w:rsidP="00C83E0B">
            <w:pPr>
              <w:pStyle w:val="DHHStabletext9pt"/>
              <w:rPr>
                <w:color w:val="000000"/>
              </w:rPr>
            </w:pPr>
            <w:r w:rsidRPr="00D77DA8">
              <w:rPr>
                <w:color w:val="000000"/>
              </w:rPr>
              <w:t>WEPHU</w:t>
            </w:r>
          </w:p>
        </w:tc>
        <w:tc>
          <w:tcPr>
            <w:tcW w:w="410" w:type="pct"/>
            <w:hideMark/>
          </w:tcPr>
          <w:p w14:paraId="2D642272" w14:textId="77777777" w:rsidR="00931F10" w:rsidRPr="00D77DA8" w:rsidRDefault="00931F10" w:rsidP="00C83E0B">
            <w:pPr>
              <w:pStyle w:val="DHHStabletext9pt"/>
              <w:rPr>
                <w:color w:val="000000"/>
              </w:rPr>
            </w:pPr>
            <w:r w:rsidRPr="00D77DA8">
              <w:rPr>
                <w:color w:val="000000"/>
              </w:rPr>
              <w:t>West Metro - Lead - Melbourne Health</w:t>
            </w:r>
          </w:p>
        </w:tc>
        <w:tc>
          <w:tcPr>
            <w:tcW w:w="373" w:type="pct"/>
            <w:hideMark/>
          </w:tcPr>
          <w:p w14:paraId="758A2D14" w14:textId="77777777" w:rsidR="00931F10" w:rsidRPr="00D77DA8" w:rsidRDefault="00931F10" w:rsidP="00C83E0B">
            <w:pPr>
              <w:pStyle w:val="DHHStabletext9pt"/>
              <w:rPr>
                <w:color w:val="000000"/>
              </w:rPr>
            </w:pPr>
            <w:r w:rsidRPr="00D77DA8">
              <w:rPr>
                <w:color w:val="000000"/>
              </w:rPr>
              <w:t>Yes</w:t>
            </w:r>
          </w:p>
        </w:tc>
      </w:tr>
      <w:tr w:rsidR="00C83E0B" w:rsidRPr="003A1EF9" w14:paraId="52CF5667" w14:textId="77777777" w:rsidTr="00856F51">
        <w:trPr>
          <w:trHeight w:val="1491"/>
        </w:trPr>
        <w:tc>
          <w:tcPr>
            <w:tcW w:w="383" w:type="pct"/>
            <w:hideMark/>
          </w:tcPr>
          <w:p w14:paraId="2C90872C" w14:textId="77777777" w:rsidR="00931F10" w:rsidRPr="00D77DA8" w:rsidRDefault="00931F10" w:rsidP="00C83E0B">
            <w:pPr>
              <w:pStyle w:val="DHHStabletext9pt"/>
            </w:pPr>
            <w:r w:rsidRPr="00D77DA8">
              <w:lastRenderedPageBreak/>
              <w:t>Horsham Rural City</w:t>
            </w:r>
          </w:p>
        </w:tc>
        <w:tc>
          <w:tcPr>
            <w:tcW w:w="2209" w:type="pct"/>
            <w:hideMark/>
          </w:tcPr>
          <w:p w14:paraId="3F9E655F" w14:textId="77777777" w:rsidR="00931F10" w:rsidRPr="00D77DA8" w:rsidRDefault="00931F10" w:rsidP="00C83E0B">
            <w:pPr>
              <w:pStyle w:val="DHHStabletext9pt"/>
              <w:rPr>
                <w:color w:val="000000"/>
              </w:rPr>
            </w:pPr>
            <w:r w:rsidRPr="00D77DA8">
              <w:rPr>
                <w:color w:val="000000"/>
              </w:rPr>
              <w:t>Arapiles; Blackheath; Brimpaen; Bungalally; Clear Lake; Dadswells Bridge; Dooen; Douglas; Drung; Duchembegarra; Grass Flat; Haven; Horsham; Jilpanger; Jung; Kalkee; Kanagulk; Kewell; Laharum; Longerenong; Lower Norton; Mckenzie Creek; Mitre; Mockinya; Murra Warra; Natimuk; Noradjuha; Nurrabiel; Pimpinio; Quantong; Riverside; St Helens Plains; Telangatuk East; Tooan; Toolondo; Vectis; Wail; Wartook; Wonwondah</w:t>
            </w:r>
          </w:p>
        </w:tc>
        <w:tc>
          <w:tcPr>
            <w:tcW w:w="328" w:type="pct"/>
            <w:hideMark/>
          </w:tcPr>
          <w:p w14:paraId="3AA3C4CE" w14:textId="77777777" w:rsidR="00931F10" w:rsidRPr="00D77DA8" w:rsidRDefault="00931F10" w:rsidP="00C83E0B">
            <w:pPr>
              <w:pStyle w:val="DHHStabletext9pt"/>
              <w:rPr>
                <w:color w:val="000000"/>
              </w:rPr>
            </w:pPr>
            <w:r w:rsidRPr="00D77DA8">
              <w:rPr>
                <w:color w:val="000000"/>
              </w:rPr>
              <w:t>Wimmera South West</w:t>
            </w:r>
          </w:p>
        </w:tc>
        <w:tc>
          <w:tcPr>
            <w:tcW w:w="321" w:type="pct"/>
            <w:hideMark/>
          </w:tcPr>
          <w:p w14:paraId="37C1DDC4"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23657442" w14:textId="77777777" w:rsidR="00931F10" w:rsidRPr="00D77DA8" w:rsidRDefault="00931F10" w:rsidP="00C83E0B">
            <w:pPr>
              <w:pStyle w:val="DHHStabletext9pt"/>
              <w:rPr>
                <w:color w:val="000000"/>
              </w:rPr>
            </w:pPr>
            <w:r w:rsidRPr="00D77DA8">
              <w:rPr>
                <w:color w:val="000000"/>
              </w:rPr>
              <w:t>WSW - Wimmera</w:t>
            </w:r>
          </w:p>
        </w:tc>
        <w:tc>
          <w:tcPr>
            <w:tcW w:w="330" w:type="pct"/>
            <w:hideMark/>
          </w:tcPr>
          <w:p w14:paraId="0629C978" w14:textId="77777777" w:rsidR="00931F10" w:rsidRPr="00D77DA8" w:rsidRDefault="00931F10" w:rsidP="00C83E0B">
            <w:pPr>
              <w:pStyle w:val="DHHStabletext9pt"/>
              <w:rPr>
                <w:color w:val="000000"/>
              </w:rPr>
            </w:pPr>
            <w:r w:rsidRPr="00A06DDF">
              <w:rPr>
                <w:color w:val="000000"/>
              </w:rPr>
              <w:t>Grampians Community Health</w:t>
            </w:r>
          </w:p>
        </w:tc>
        <w:tc>
          <w:tcPr>
            <w:tcW w:w="301" w:type="pct"/>
            <w:hideMark/>
          </w:tcPr>
          <w:p w14:paraId="0C22AAA2"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28F8B882"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68CB1AC8" w14:textId="77777777" w:rsidR="00931F10" w:rsidRPr="00D77DA8" w:rsidRDefault="00931F10" w:rsidP="00C83E0B">
            <w:pPr>
              <w:pStyle w:val="DHHStabletext9pt"/>
              <w:rPr>
                <w:color w:val="000000"/>
              </w:rPr>
            </w:pPr>
            <w:r w:rsidRPr="00D77DA8">
              <w:rPr>
                <w:color w:val="000000"/>
              </w:rPr>
              <w:t>Yes</w:t>
            </w:r>
          </w:p>
        </w:tc>
      </w:tr>
      <w:tr w:rsidR="00C83E0B" w:rsidRPr="00432ACB" w14:paraId="1F030866" w14:textId="77777777" w:rsidTr="00856F51">
        <w:trPr>
          <w:trHeight w:val="900"/>
        </w:trPr>
        <w:tc>
          <w:tcPr>
            <w:tcW w:w="383" w:type="pct"/>
            <w:shd w:val="clear" w:color="auto" w:fill="auto"/>
            <w:hideMark/>
          </w:tcPr>
          <w:p w14:paraId="77328EE6" w14:textId="77777777" w:rsidR="00931F10" w:rsidRPr="00432ACB" w:rsidRDefault="00931F10" w:rsidP="00C83E0B">
            <w:pPr>
              <w:pStyle w:val="DHHStabletext9pt"/>
            </w:pPr>
            <w:r w:rsidRPr="00432ACB">
              <w:t>Hume City</w:t>
            </w:r>
          </w:p>
        </w:tc>
        <w:tc>
          <w:tcPr>
            <w:tcW w:w="2209" w:type="pct"/>
            <w:shd w:val="clear" w:color="auto" w:fill="auto"/>
            <w:hideMark/>
          </w:tcPr>
          <w:p w14:paraId="69A0F374" w14:textId="26440B36" w:rsidR="00931F10" w:rsidRPr="00432ACB" w:rsidRDefault="00931F10" w:rsidP="00C83E0B">
            <w:pPr>
              <w:pStyle w:val="DHHStabletext9pt"/>
              <w:rPr>
                <w:color w:val="000000"/>
              </w:rPr>
            </w:pPr>
            <w:r w:rsidRPr="00432ACB">
              <w:rPr>
                <w:color w:val="000000"/>
              </w:rPr>
              <w:t>Campbellfield, Craigieburn, Greenvale, Oaklands Junction,</w:t>
            </w:r>
            <w:r w:rsidR="00856F51">
              <w:rPr>
                <w:color w:val="000000"/>
              </w:rPr>
              <w:t xml:space="preserve"> </w:t>
            </w:r>
            <w:r w:rsidRPr="00432ACB">
              <w:rPr>
                <w:color w:val="000000"/>
              </w:rPr>
              <w:t>Somerton</w:t>
            </w:r>
          </w:p>
        </w:tc>
        <w:tc>
          <w:tcPr>
            <w:tcW w:w="328" w:type="pct"/>
            <w:shd w:val="clear" w:color="auto" w:fill="auto"/>
            <w:hideMark/>
          </w:tcPr>
          <w:p w14:paraId="5EA8AA8A" w14:textId="77777777" w:rsidR="00931F10" w:rsidRPr="00432ACB" w:rsidRDefault="00931F10" w:rsidP="00C83E0B">
            <w:pPr>
              <w:pStyle w:val="DHHStabletext9pt"/>
              <w:rPr>
                <w:color w:val="000000"/>
              </w:rPr>
            </w:pPr>
            <w:r w:rsidRPr="00432ACB">
              <w:rPr>
                <w:color w:val="000000"/>
              </w:rPr>
              <w:t>Hume Moreland</w:t>
            </w:r>
          </w:p>
        </w:tc>
        <w:tc>
          <w:tcPr>
            <w:tcW w:w="321" w:type="pct"/>
            <w:shd w:val="clear" w:color="auto" w:fill="auto"/>
            <w:hideMark/>
          </w:tcPr>
          <w:p w14:paraId="07A36493" w14:textId="77777777" w:rsidR="00931F10" w:rsidRPr="00432ACB" w:rsidRDefault="00931F10" w:rsidP="00C83E0B">
            <w:pPr>
              <w:pStyle w:val="DHHStabletext9pt"/>
              <w:rPr>
                <w:color w:val="000000"/>
              </w:rPr>
            </w:pPr>
            <w:r w:rsidRPr="00432ACB">
              <w:rPr>
                <w:color w:val="000000"/>
              </w:rPr>
              <w:t xml:space="preserve">North </w:t>
            </w:r>
          </w:p>
        </w:tc>
        <w:tc>
          <w:tcPr>
            <w:tcW w:w="345" w:type="pct"/>
            <w:shd w:val="clear" w:color="auto" w:fill="auto"/>
            <w:hideMark/>
          </w:tcPr>
          <w:p w14:paraId="22561938" w14:textId="77777777" w:rsidR="00931F10" w:rsidRPr="00432ACB" w:rsidRDefault="00931F10" w:rsidP="00C83E0B">
            <w:pPr>
              <w:pStyle w:val="DHHStabletext9pt"/>
              <w:rPr>
                <w:color w:val="000000"/>
              </w:rPr>
            </w:pPr>
            <w:r w:rsidRPr="00432ACB">
              <w:rPr>
                <w:color w:val="000000"/>
              </w:rPr>
              <w:t>Hume Moreland</w:t>
            </w:r>
          </w:p>
        </w:tc>
        <w:tc>
          <w:tcPr>
            <w:tcW w:w="330" w:type="pct"/>
            <w:shd w:val="clear" w:color="auto" w:fill="auto"/>
            <w:hideMark/>
          </w:tcPr>
          <w:p w14:paraId="5C124D90" w14:textId="77777777" w:rsidR="00931F10" w:rsidRPr="00432ACB" w:rsidRDefault="00931F10" w:rsidP="00C83E0B">
            <w:pPr>
              <w:pStyle w:val="DHHStabletext9pt"/>
              <w:rPr>
                <w:color w:val="000000"/>
              </w:rPr>
            </w:pPr>
            <w:r w:rsidRPr="0046427D">
              <w:rPr>
                <w:color w:val="000000"/>
              </w:rPr>
              <w:t>DPV Health</w:t>
            </w:r>
          </w:p>
        </w:tc>
        <w:tc>
          <w:tcPr>
            <w:tcW w:w="301" w:type="pct"/>
            <w:shd w:val="clear" w:color="auto" w:fill="auto"/>
            <w:hideMark/>
          </w:tcPr>
          <w:p w14:paraId="45366D72" w14:textId="77777777" w:rsidR="00931F10" w:rsidRPr="00432ACB" w:rsidRDefault="00931F10" w:rsidP="00C83E0B">
            <w:pPr>
              <w:pStyle w:val="DHHStabletext9pt"/>
              <w:rPr>
                <w:color w:val="000000"/>
              </w:rPr>
            </w:pPr>
            <w:r w:rsidRPr="00432ACB">
              <w:rPr>
                <w:color w:val="000000"/>
              </w:rPr>
              <w:t>NEPHU</w:t>
            </w:r>
          </w:p>
        </w:tc>
        <w:tc>
          <w:tcPr>
            <w:tcW w:w="410" w:type="pct"/>
            <w:shd w:val="clear" w:color="auto" w:fill="auto"/>
            <w:hideMark/>
          </w:tcPr>
          <w:p w14:paraId="541189FA" w14:textId="77777777" w:rsidR="00931F10" w:rsidRPr="00432ACB" w:rsidRDefault="00931F10" w:rsidP="00C83E0B">
            <w:pPr>
              <w:pStyle w:val="DHHStabletext9pt"/>
              <w:rPr>
                <w:color w:val="000000"/>
              </w:rPr>
            </w:pPr>
            <w:r w:rsidRPr="00432ACB">
              <w:rPr>
                <w:color w:val="000000"/>
              </w:rPr>
              <w:t>North Metro - Lead - Austin Health</w:t>
            </w:r>
          </w:p>
        </w:tc>
        <w:tc>
          <w:tcPr>
            <w:tcW w:w="373" w:type="pct"/>
            <w:shd w:val="clear" w:color="auto" w:fill="auto"/>
            <w:hideMark/>
          </w:tcPr>
          <w:p w14:paraId="3FE71450" w14:textId="77777777" w:rsidR="00931F10" w:rsidRPr="00432ACB" w:rsidRDefault="00931F10" w:rsidP="00C83E0B">
            <w:pPr>
              <w:pStyle w:val="DHHStabletext9pt"/>
              <w:rPr>
                <w:color w:val="000000"/>
              </w:rPr>
            </w:pPr>
            <w:r w:rsidRPr="00432ACB">
              <w:rPr>
                <w:color w:val="000000"/>
              </w:rPr>
              <w:t>Yes</w:t>
            </w:r>
          </w:p>
        </w:tc>
      </w:tr>
      <w:tr w:rsidR="00C83E0B" w:rsidRPr="00432ACB" w14:paraId="55A85878" w14:textId="77777777" w:rsidTr="00856F51">
        <w:trPr>
          <w:trHeight w:val="379"/>
        </w:trPr>
        <w:tc>
          <w:tcPr>
            <w:tcW w:w="383" w:type="pct"/>
            <w:shd w:val="clear" w:color="auto" w:fill="auto"/>
            <w:hideMark/>
          </w:tcPr>
          <w:p w14:paraId="5265E188" w14:textId="77777777" w:rsidR="00931F10" w:rsidRPr="00432ACB" w:rsidRDefault="00931F10" w:rsidP="00C83E0B">
            <w:pPr>
              <w:pStyle w:val="DHHStabletext9pt"/>
            </w:pPr>
            <w:r w:rsidRPr="00432ACB">
              <w:t>Hume City</w:t>
            </w:r>
          </w:p>
        </w:tc>
        <w:tc>
          <w:tcPr>
            <w:tcW w:w="2209" w:type="pct"/>
            <w:shd w:val="clear" w:color="auto" w:fill="auto"/>
            <w:hideMark/>
          </w:tcPr>
          <w:p w14:paraId="298A0C41" w14:textId="77777777" w:rsidR="00931F10" w:rsidRPr="00432ACB" w:rsidRDefault="00931F10" w:rsidP="00C83E0B">
            <w:pPr>
              <w:pStyle w:val="DHHStabletext9pt"/>
              <w:rPr>
                <w:color w:val="000000"/>
              </w:rPr>
            </w:pPr>
            <w:r w:rsidRPr="00432ACB">
              <w:rPr>
                <w:color w:val="000000"/>
              </w:rPr>
              <w:t>Gladstone Park, Melbourne Airport, Fawkner, Diggers Rest, Sunbury</w:t>
            </w:r>
          </w:p>
        </w:tc>
        <w:tc>
          <w:tcPr>
            <w:tcW w:w="328" w:type="pct"/>
            <w:shd w:val="clear" w:color="auto" w:fill="auto"/>
            <w:hideMark/>
          </w:tcPr>
          <w:p w14:paraId="3004D808" w14:textId="77777777" w:rsidR="00931F10" w:rsidRPr="00432ACB" w:rsidRDefault="00931F10" w:rsidP="00C83E0B">
            <w:pPr>
              <w:pStyle w:val="DHHStabletext9pt"/>
              <w:rPr>
                <w:color w:val="000000"/>
              </w:rPr>
            </w:pPr>
            <w:r w:rsidRPr="00432ACB">
              <w:rPr>
                <w:color w:val="000000"/>
              </w:rPr>
              <w:t>Hume Moreland</w:t>
            </w:r>
          </w:p>
        </w:tc>
        <w:tc>
          <w:tcPr>
            <w:tcW w:w="321" w:type="pct"/>
            <w:shd w:val="clear" w:color="auto" w:fill="auto"/>
            <w:hideMark/>
          </w:tcPr>
          <w:p w14:paraId="44E06A25" w14:textId="77777777" w:rsidR="00931F10" w:rsidRPr="00432ACB" w:rsidRDefault="00931F10" w:rsidP="00C83E0B">
            <w:pPr>
              <w:pStyle w:val="DHHStabletext9pt"/>
              <w:rPr>
                <w:color w:val="000000"/>
              </w:rPr>
            </w:pPr>
            <w:r w:rsidRPr="00432ACB">
              <w:rPr>
                <w:color w:val="000000"/>
              </w:rPr>
              <w:t xml:space="preserve">North </w:t>
            </w:r>
          </w:p>
        </w:tc>
        <w:tc>
          <w:tcPr>
            <w:tcW w:w="345" w:type="pct"/>
            <w:shd w:val="clear" w:color="auto" w:fill="auto"/>
            <w:hideMark/>
          </w:tcPr>
          <w:p w14:paraId="7054F2F7" w14:textId="77777777" w:rsidR="00931F10" w:rsidRPr="00432ACB" w:rsidRDefault="00931F10" w:rsidP="00C83E0B">
            <w:pPr>
              <w:pStyle w:val="DHHStabletext9pt"/>
              <w:rPr>
                <w:color w:val="000000"/>
              </w:rPr>
            </w:pPr>
            <w:r w:rsidRPr="00432ACB">
              <w:rPr>
                <w:color w:val="000000"/>
              </w:rPr>
              <w:t>Hume Moreland</w:t>
            </w:r>
          </w:p>
        </w:tc>
        <w:tc>
          <w:tcPr>
            <w:tcW w:w="330" w:type="pct"/>
            <w:shd w:val="clear" w:color="auto" w:fill="auto"/>
            <w:hideMark/>
          </w:tcPr>
          <w:p w14:paraId="05F9F2A8" w14:textId="77777777" w:rsidR="00931F10" w:rsidRPr="00432ACB" w:rsidRDefault="00931F10" w:rsidP="00C83E0B">
            <w:pPr>
              <w:pStyle w:val="DHHStabletext9pt"/>
              <w:rPr>
                <w:color w:val="000000"/>
              </w:rPr>
            </w:pPr>
            <w:r w:rsidRPr="0046427D">
              <w:rPr>
                <w:color w:val="000000"/>
              </w:rPr>
              <w:t>DPV Health</w:t>
            </w:r>
          </w:p>
        </w:tc>
        <w:tc>
          <w:tcPr>
            <w:tcW w:w="301" w:type="pct"/>
            <w:shd w:val="clear" w:color="auto" w:fill="auto"/>
            <w:hideMark/>
          </w:tcPr>
          <w:p w14:paraId="60DED37F" w14:textId="77777777" w:rsidR="00931F10" w:rsidRPr="00432ACB" w:rsidRDefault="00931F10" w:rsidP="00C83E0B">
            <w:pPr>
              <w:pStyle w:val="DHHStabletext9pt"/>
              <w:rPr>
                <w:color w:val="000000"/>
              </w:rPr>
            </w:pPr>
            <w:r w:rsidRPr="00432ACB">
              <w:rPr>
                <w:color w:val="000000"/>
              </w:rPr>
              <w:t>WEPHU</w:t>
            </w:r>
          </w:p>
        </w:tc>
        <w:tc>
          <w:tcPr>
            <w:tcW w:w="410" w:type="pct"/>
            <w:shd w:val="clear" w:color="auto" w:fill="auto"/>
            <w:hideMark/>
          </w:tcPr>
          <w:p w14:paraId="5F649F61" w14:textId="77777777" w:rsidR="00931F10" w:rsidRPr="00432ACB" w:rsidRDefault="00931F10" w:rsidP="00C83E0B">
            <w:pPr>
              <w:pStyle w:val="DHHStabletext9pt"/>
              <w:rPr>
                <w:color w:val="000000"/>
              </w:rPr>
            </w:pPr>
            <w:r w:rsidRPr="00432ACB">
              <w:rPr>
                <w:color w:val="000000"/>
              </w:rPr>
              <w:t>North Metro - Lead - Austin Health</w:t>
            </w:r>
          </w:p>
        </w:tc>
        <w:tc>
          <w:tcPr>
            <w:tcW w:w="373" w:type="pct"/>
            <w:shd w:val="clear" w:color="auto" w:fill="auto"/>
            <w:hideMark/>
          </w:tcPr>
          <w:p w14:paraId="324329D3" w14:textId="77777777" w:rsidR="00931F10" w:rsidRPr="00432ACB" w:rsidRDefault="00931F10" w:rsidP="00C83E0B">
            <w:pPr>
              <w:pStyle w:val="DHHStabletext9pt"/>
              <w:rPr>
                <w:color w:val="000000"/>
              </w:rPr>
            </w:pPr>
            <w:r w:rsidRPr="00432ACB">
              <w:rPr>
                <w:color w:val="000000"/>
              </w:rPr>
              <w:t>Yes</w:t>
            </w:r>
          </w:p>
        </w:tc>
      </w:tr>
      <w:tr w:rsidR="00C83E0B" w:rsidRPr="003A1EF9" w14:paraId="21CFF21B" w14:textId="77777777" w:rsidTr="00856F51">
        <w:trPr>
          <w:trHeight w:val="633"/>
        </w:trPr>
        <w:tc>
          <w:tcPr>
            <w:tcW w:w="383" w:type="pct"/>
            <w:shd w:val="clear" w:color="auto" w:fill="auto"/>
            <w:hideMark/>
          </w:tcPr>
          <w:p w14:paraId="3656E51C" w14:textId="77777777" w:rsidR="00931F10" w:rsidRPr="00432ACB" w:rsidRDefault="00931F10" w:rsidP="00C83E0B">
            <w:pPr>
              <w:pStyle w:val="DHHStabletext9pt"/>
            </w:pPr>
            <w:r w:rsidRPr="00432ACB">
              <w:t>Hume City</w:t>
            </w:r>
          </w:p>
        </w:tc>
        <w:tc>
          <w:tcPr>
            <w:tcW w:w="2209" w:type="pct"/>
            <w:shd w:val="clear" w:color="auto" w:fill="auto"/>
            <w:hideMark/>
          </w:tcPr>
          <w:p w14:paraId="3EA04421" w14:textId="77777777" w:rsidR="00931F10" w:rsidRPr="00432ACB" w:rsidRDefault="00931F10" w:rsidP="00C83E0B">
            <w:pPr>
              <w:pStyle w:val="DHHStabletext9pt"/>
              <w:rPr>
                <w:color w:val="000000"/>
              </w:rPr>
            </w:pPr>
            <w:r w:rsidRPr="00432ACB">
              <w:rPr>
                <w:color w:val="000000"/>
              </w:rPr>
              <w:t>Attwood, Broadmeadows, Bulla, Campbellfield, Clarkefield</w:t>
            </w:r>
            <w:r>
              <w:rPr>
                <w:color w:val="000000"/>
              </w:rPr>
              <w:t>,</w:t>
            </w:r>
            <w:r w:rsidRPr="00432ACB">
              <w:rPr>
                <w:color w:val="000000"/>
              </w:rPr>
              <w:t xml:space="preserve"> Coolaroo, Craigieburn, Dallas, Greenvale, Jacana, Kalkallo, Keilor (Part), Meadow Heights, Mickleham, Oaklands Junction, Roxburgh Park, Somerton, Tullamarine (Part), Westmeadows, Wildwood And Yuroke.</w:t>
            </w:r>
          </w:p>
        </w:tc>
        <w:tc>
          <w:tcPr>
            <w:tcW w:w="328" w:type="pct"/>
            <w:shd w:val="clear" w:color="auto" w:fill="auto"/>
            <w:hideMark/>
          </w:tcPr>
          <w:p w14:paraId="2562817A" w14:textId="77777777" w:rsidR="00931F10" w:rsidRPr="00432ACB" w:rsidRDefault="00931F10" w:rsidP="00C83E0B">
            <w:pPr>
              <w:pStyle w:val="DHHStabletext9pt"/>
              <w:rPr>
                <w:color w:val="000000"/>
              </w:rPr>
            </w:pPr>
            <w:r w:rsidRPr="00432ACB">
              <w:rPr>
                <w:color w:val="000000"/>
              </w:rPr>
              <w:t>Hume Moreland</w:t>
            </w:r>
          </w:p>
        </w:tc>
        <w:tc>
          <w:tcPr>
            <w:tcW w:w="321" w:type="pct"/>
            <w:shd w:val="clear" w:color="auto" w:fill="auto"/>
            <w:hideMark/>
          </w:tcPr>
          <w:p w14:paraId="4F0DF6D7" w14:textId="77777777" w:rsidR="00931F10" w:rsidRPr="00432ACB" w:rsidRDefault="00931F10" w:rsidP="00C83E0B">
            <w:pPr>
              <w:pStyle w:val="DHHStabletext9pt"/>
              <w:rPr>
                <w:color w:val="000000"/>
              </w:rPr>
            </w:pPr>
            <w:r w:rsidRPr="00432ACB">
              <w:rPr>
                <w:color w:val="000000"/>
              </w:rPr>
              <w:t xml:space="preserve">North </w:t>
            </w:r>
          </w:p>
        </w:tc>
        <w:tc>
          <w:tcPr>
            <w:tcW w:w="345" w:type="pct"/>
            <w:shd w:val="clear" w:color="auto" w:fill="auto"/>
            <w:hideMark/>
          </w:tcPr>
          <w:p w14:paraId="65C387EB" w14:textId="77777777" w:rsidR="00931F10" w:rsidRPr="00432ACB" w:rsidRDefault="00931F10" w:rsidP="00C83E0B">
            <w:pPr>
              <w:pStyle w:val="DHHStabletext9pt"/>
              <w:rPr>
                <w:color w:val="000000"/>
              </w:rPr>
            </w:pPr>
            <w:r w:rsidRPr="00432ACB">
              <w:rPr>
                <w:color w:val="000000"/>
              </w:rPr>
              <w:t>Hume Moreland</w:t>
            </w:r>
          </w:p>
        </w:tc>
        <w:tc>
          <w:tcPr>
            <w:tcW w:w="330" w:type="pct"/>
            <w:shd w:val="clear" w:color="auto" w:fill="auto"/>
            <w:hideMark/>
          </w:tcPr>
          <w:p w14:paraId="19423F34" w14:textId="77777777" w:rsidR="00931F10" w:rsidRPr="00432ACB" w:rsidRDefault="00931F10" w:rsidP="00C83E0B">
            <w:pPr>
              <w:pStyle w:val="DHHStabletext9pt"/>
              <w:rPr>
                <w:color w:val="000000"/>
              </w:rPr>
            </w:pPr>
            <w:r w:rsidRPr="0046427D">
              <w:rPr>
                <w:color w:val="000000"/>
              </w:rPr>
              <w:t>DPV Health</w:t>
            </w:r>
          </w:p>
        </w:tc>
        <w:tc>
          <w:tcPr>
            <w:tcW w:w="301" w:type="pct"/>
            <w:shd w:val="clear" w:color="auto" w:fill="auto"/>
            <w:hideMark/>
          </w:tcPr>
          <w:p w14:paraId="1D7F78E5" w14:textId="77777777" w:rsidR="00931F10" w:rsidRPr="00432ACB" w:rsidRDefault="00931F10" w:rsidP="00C83E0B">
            <w:pPr>
              <w:pStyle w:val="DHHStabletext9pt"/>
              <w:rPr>
                <w:color w:val="000000"/>
              </w:rPr>
            </w:pPr>
            <w:r w:rsidRPr="00432ACB">
              <w:rPr>
                <w:color w:val="000000"/>
              </w:rPr>
              <w:t>Bendigo Health</w:t>
            </w:r>
          </w:p>
        </w:tc>
        <w:tc>
          <w:tcPr>
            <w:tcW w:w="410" w:type="pct"/>
            <w:shd w:val="clear" w:color="auto" w:fill="auto"/>
            <w:hideMark/>
          </w:tcPr>
          <w:p w14:paraId="3E4DBC36" w14:textId="77777777" w:rsidR="00931F10" w:rsidRPr="00432ACB" w:rsidRDefault="00931F10" w:rsidP="00C83E0B">
            <w:pPr>
              <w:pStyle w:val="DHHStabletext9pt"/>
              <w:rPr>
                <w:color w:val="000000"/>
              </w:rPr>
            </w:pPr>
            <w:r w:rsidRPr="00432ACB">
              <w:rPr>
                <w:color w:val="000000"/>
              </w:rPr>
              <w:t>North Metro - Lead - Austin Health</w:t>
            </w:r>
          </w:p>
        </w:tc>
        <w:tc>
          <w:tcPr>
            <w:tcW w:w="373" w:type="pct"/>
            <w:shd w:val="clear" w:color="auto" w:fill="auto"/>
            <w:hideMark/>
          </w:tcPr>
          <w:p w14:paraId="473A4759" w14:textId="77777777" w:rsidR="00931F10" w:rsidRPr="00D77DA8" w:rsidRDefault="00931F10" w:rsidP="00C83E0B">
            <w:pPr>
              <w:pStyle w:val="DHHStabletext9pt"/>
              <w:rPr>
                <w:color w:val="000000"/>
              </w:rPr>
            </w:pPr>
            <w:r w:rsidRPr="00432ACB">
              <w:rPr>
                <w:color w:val="000000"/>
              </w:rPr>
              <w:t>Yes</w:t>
            </w:r>
          </w:p>
        </w:tc>
      </w:tr>
      <w:tr w:rsidR="00C83E0B" w:rsidRPr="003A1EF9" w14:paraId="2B5A9978" w14:textId="77777777" w:rsidTr="00856F51">
        <w:trPr>
          <w:trHeight w:val="669"/>
        </w:trPr>
        <w:tc>
          <w:tcPr>
            <w:tcW w:w="383" w:type="pct"/>
            <w:hideMark/>
          </w:tcPr>
          <w:p w14:paraId="4187C84E" w14:textId="77777777" w:rsidR="00931F10" w:rsidRPr="00D77DA8" w:rsidRDefault="00931F10" w:rsidP="00C83E0B">
            <w:pPr>
              <w:pStyle w:val="DHHStabletext9pt"/>
            </w:pPr>
            <w:r w:rsidRPr="00D77DA8">
              <w:t>Indigo Shire</w:t>
            </w:r>
          </w:p>
        </w:tc>
        <w:tc>
          <w:tcPr>
            <w:tcW w:w="2209" w:type="pct"/>
            <w:hideMark/>
          </w:tcPr>
          <w:p w14:paraId="111C31A7" w14:textId="77777777" w:rsidR="00931F10" w:rsidRPr="00D77DA8" w:rsidRDefault="00931F10" w:rsidP="00C83E0B">
            <w:pPr>
              <w:pStyle w:val="DHHStabletext9pt"/>
            </w:pPr>
            <w:r w:rsidRPr="00D77DA8">
              <w:t>Allans Flat, Barnawartha, Beechworth, Brimin, Browns Plains, Bruarong, Carlyle, Charleroi, Chiltern, Chiltern Valley, Cornishtown, Gooramadda, Great Northern, Gundowring, Huon, Indigo, Indigo Valley, Kergunyah, Kiewa, Lilliput, Mudgegonga, Norong, Norong Central, Osbornes Flat, Prentice North, Red Bluff, Rutherglen, Sandy Creek, Staghorn Flat, Stanley, Tangambalanga, Wahgunyah, Woolshed, Wooragee, Yackandandah</w:t>
            </w:r>
          </w:p>
        </w:tc>
        <w:tc>
          <w:tcPr>
            <w:tcW w:w="328" w:type="pct"/>
            <w:hideMark/>
          </w:tcPr>
          <w:p w14:paraId="01A99AEE" w14:textId="77777777" w:rsidR="00931F10" w:rsidRPr="00D77DA8" w:rsidRDefault="00931F10" w:rsidP="00C83E0B">
            <w:pPr>
              <w:pStyle w:val="DHHStabletext9pt"/>
              <w:rPr>
                <w:color w:val="000000"/>
              </w:rPr>
            </w:pPr>
            <w:r w:rsidRPr="00D77DA8">
              <w:rPr>
                <w:color w:val="000000"/>
              </w:rPr>
              <w:t>Ovens Murray</w:t>
            </w:r>
          </w:p>
        </w:tc>
        <w:tc>
          <w:tcPr>
            <w:tcW w:w="321" w:type="pct"/>
            <w:hideMark/>
          </w:tcPr>
          <w:p w14:paraId="62A945F8"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12EE2D10" w14:textId="77777777" w:rsidR="00931F10" w:rsidRPr="00D77DA8" w:rsidRDefault="00931F10" w:rsidP="00C83E0B">
            <w:pPr>
              <w:pStyle w:val="DHHStabletext9pt"/>
              <w:rPr>
                <w:color w:val="000000"/>
              </w:rPr>
            </w:pPr>
            <w:r w:rsidRPr="00D77DA8">
              <w:rPr>
                <w:color w:val="000000"/>
              </w:rPr>
              <w:t>Ovens Murray</w:t>
            </w:r>
          </w:p>
        </w:tc>
        <w:tc>
          <w:tcPr>
            <w:tcW w:w="330" w:type="pct"/>
            <w:hideMark/>
          </w:tcPr>
          <w:p w14:paraId="56438851" w14:textId="77777777" w:rsidR="00931F10" w:rsidRPr="00D77DA8" w:rsidRDefault="00931F10" w:rsidP="00C83E0B">
            <w:pPr>
              <w:pStyle w:val="DHHStabletext9pt"/>
              <w:rPr>
                <w:color w:val="000000"/>
              </w:rPr>
            </w:pPr>
            <w:r w:rsidRPr="00D77DA8">
              <w:rPr>
                <w:color w:val="000000"/>
              </w:rPr>
              <w:t>Gateway Health</w:t>
            </w:r>
          </w:p>
        </w:tc>
        <w:tc>
          <w:tcPr>
            <w:tcW w:w="301" w:type="pct"/>
            <w:hideMark/>
          </w:tcPr>
          <w:p w14:paraId="77D16C88" w14:textId="77777777" w:rsidR="00931F10" w:rsidRPr="00D77DA8" w:rsidRDefault="00931F10" w:rsidP="00C83E0B">
            <w:pPr>
              <w:pStyle w:val="DHHStabletext9pt"/>
              <w:rPr>
                <w:color w:val="000000"/>
              </w:rPr>
            </w:pPr>
            <w:r w:rsidRPr="00D77DA8">
              <w:rPr>
                <w:color w:val="000000"/>
              </w:rPr>
              <w:t>Albury Health</w:t>
            </w:r>
          </w:p>
        </w:tc>
        <w:tc>
          <w:tcPr>
            <w:tcW w:w="410" w:type="pct"/>
            <w:hideMark/>
          </w:tcPr>
          <w:p w14:paraId="383D86D5"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2B6A62BC" w14:textId="77777777" w:rsidR="00931F10" w:rsidRPr="00D77DA8" w:rsidRDefault="00931F10" w:rsidP="00C83E0B">
            <w:pPr>
              <w:pStyle w:val="DHHStabletext9pt"/>
              <w:rPr>
                <w:color w:val="000000"/>
              </w:rPr>
            </w:pPr>
            <w:r w:rsidRPr="00D77DA8">
              <w:rPr>
                <w:color w:val="000000"/>
              </w:rPr>
              <w:t>Yes</w:t>
            </w:r>
          </w:p>
        </w:tc>
      </w:tr>
      <w:tr w:rsidR="00C83E0B" w:rsidRPr="003A1EF9" w14:paraId="348AC676" w14:textId="77777777" w:rsidTr="00856F51">
        <w:trPr>
          <w:trHeight w:val="938"/>
        </w:trPr>
        <w:tc>
          <w:tcPr>
            <w:tcW w:w="383" w:type="pct"/>
            <w:hideMark/>
          </w:tcPr>
          <w:p w14:paraId="4DBE5BE5" w14:textId="77777777" w:rsidR="00931F10" w:rsidRPr="00D77DA8" w:rsidRDefault="00931F10" w:rsidP="00C83E0B">
            <w:pPr>
              <w:pStyle w:val="DHHStabletext9pt"/>
            </w:pPr>
            <w:r w:rsidRPr="00D77DA8">
              <w:t>Kingston City</w:t>
            </w:r>
          </w:p>
        </w:tc>
        <w:tc>
          <w:tcPr>
            <w:tcW w:w="2209" w:type="pct"/>
            <w:hideMark/>
          </w:tcPr>
          <w:p w14:paraId="1AD84F16" w14:textId="77777777" w:rsidR="00931F10" w:rsidRPr="00D77DA8" w:rsidRDefault="00931F10" w:rsidP="00C83E0B">
            <w:pPr>
              <w:pStyle w:val="DHHStabletext9pt"/>
              <w:rPr>
                <w:color w:val="000000"/>
              </w:rPr>
            </w:pPr>
            <w:r w:rsidRPr="00D77DA8">
              <w:rPr>
                <w:color w:val="000000"/>
              </w:rPr>
              <w:t>Aspendale, Aspendale Gardens, Bonbeach, Braeside, Carrum, Chelsea, Chelsea Heights, Cheltenham, Clarinda, Clayton South, Dingley Village, Edithvale, Heatherton, Highett, Mentone, Moorabbin, Moorabbin Airport, Mordialloc, Oakleigh South, Parkdale, Patterson Lakes And Waterways</w:t>
            </w:r>
          </w:p>
        </w:tc>
        <w:tc>
          <w:tcPr>
            <w:tcW w:w="328" w:type="pct"/>
            <w:hideMark/>
          </w:tcPr>
          <w:p w14:paraId="775ED23C" w14:textId="77777777" w:rsidR="00931F10" w:rsidRPr="00D77DA8" w:rsidRDefault="00931F10" w:rsidP="00C83E0B">
            <w:pPr>
              <w:pStyle w:val="DHHStabletext9pt"/>
              <w:rPr>
                <w:color w:val="000000"/>
              </w:rPr>
            </w:pPr>
            <w:r w:rsidRPr="00D77DA8">
              <w:rPr>
                <w:color w:val="000000"/>
              </w:rPr>
              <w:t>Bayside Peninsula Area (BPA)</w:t>
            </w:r>
          </w:p>
        </w:tc>
        <w:tc>
          <w:tcPr>
            <w:tcW w:w="321" w:type="pct"/>
            <w:hideMark/>
          </w:tcPr>
          <w:p w14:paraId="0BB4406F"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1D18A6E3" w14:textId="77777777" w:rsidR="00931F10" w:rsidRPr="00D77DA8" w:rsidRDefault="00931F10" w:rsidP="00C83E0B">
            <w:pPr>
              <w:pStyle w:val="DHHStabletext9pt"/>
              <w:rPr>
                <w:color w:val="000000"/>
              </w:rPr>
            </w:pPr>
            <w:r w:rsidRPr="00D77DA8">
              <w:rPr>
                <w:color w:val="000000"/>
              </w:rPr>
              <w:t>Bayside Peninsula  Middle (Glen Eira, Kingston, Bayside)</w:t>
            </w:r>
          </w:p>
        </w:tc>
        <w:tc>
          <w:tcPr>
            <w:tcW w:w="330" w:type="pct"/>
            <w:hideMark/>
          </w:tcPr>
          <w:p w14:paraId="55C70DA8" w14:textId="77777777" w:rsidR="00931F10" w:rsidRPr="00D77DA8" w:rsidRDefault="00931F10" w:rsidP="00C83E0B">
            <w:pPr>
              <w:pStyle w:val="DHHStabletext9pt"/>
              <w:rPr>
                <w:color w:val="000000"/>
              </w:rPr>
            </w:pPr>
            <w:r w:rsidRPr="004516DF">
              <w:rPr>
                <w:color w:val="000000"/>
              </w:rPr>
              <w:t>Connect</w:t>
            </w:r>
            <w:r>
              <w:rPr>
                <w:color w:val="000000"/>
              </w:rPr>
              <w:t xml:space="preserve"> </w:t>
            </w:r>
            <w:r w:rsidRPr="004516DF">
              <w:rPr>
                <w:color w:val="000000"/>
              </w:rPr>
              <w:t>Health</w:t>
            </w:r>
          </w:p>
        </w:tc>
        <w:tc>
          <w:tcPr>
            <w:tcW w:w="301" w:type="pct"/>
            <w:hideMark/>
          </w:tcPr>
          <w:p w14:paraId="5063D2E7"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209EBED6"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050BE632" w14:textId="77777777" w:rsidR="00931F10" w:rsidRPr="00D77DA8" w:rsidRDefault="00931F10" w:rsidP="00C83E0B">
            <w:pPr>
              <w:pStyle w:val="DHHStabletext9pt"/>
              <w:rPr>
                <w:color w:val="000000"/>
              </w:rPr>
            </w:pPr>
            <w:r w:rsidRPr="00D77DA8">
              <w:rPr>
                <w:color w:val="000000"/>
              </w:rPr>
              <w:t>Yes</w:t>
            </w:r>
          </w:p>
        </w:tc>
      </w:tr>
      <w:tr w:rsidR="00C83E0B" w:rsidRPr="003A1EF9" w14:paraId="121534AA" w14:textId="77777777" w:rsidTr="00856F51">
        <w:trPr>
          <w:trHeight w:val="714"/>
        </w:trPr>
        <w:tc>
          <w:tcPr>
            <w:tcW w:w="383" w:type="pct"/>
            <w:shd w:val="clear" w:color="auto" w:fill="auto"/>
            <w:hideMark/>
          </w:tcPr>
          <w:p w14:paraId="4AEC5C7B" w14:textId="77777777" w:rsidR="00931F10" w:rsidRPr="00D77DA8" w:rsidRDefault="00931F10" w:rsidP="00C83E0B">
            <w:pPr>
              <w:pStyle w:val="DHHStabletext9pt"/>
            </w:pPr>
            <w:r w:rsidRPr="00D77DA8">
              <w:lastRenderedPageBreak/>
              <w:t>Knox City</w:t>
            </w:r>
          </w:p>
        </w:tc>
        <w:tc>
          <w:tcPr>
            <w:tcW w:w="2209" w:type="pct"/>
            <w:shd w:val="clear" w:color="auto" w:fill="auto"/>
            <w:hideMark/>
          </w:tcPr>
          <w:p w14:paraId="68A4BCB0" w14:textId="77777777" w:rsidR="00931F10" w:rsidRPr="00D77DA8" w:rsidRDefault="00931F10" w:rsidP="00C83E0B">
            <w:pPr>
              <w:pStyle w:val="DHHStabletext9pt"/>
              <w:rPr>
                <w:color w:val="000000"/>
              </w:rPr>
            </w:pPr>
            <w:r w:rsidRPr="00D77DA8">
              <w:rPr>
                <w:color w:val="000000"/>
              </w:rPr>
              <w:t>Lysterfield, Rowville, Upper Ferntree Gully, Wantirna</w:t>
            </w:r>
          </w:p>
        </w:tc>
        <w:tc>
          <w:tcPr>
            <w:tcW w:w="328" w:type="pct"/>
            <w:shd w:val="clear" w:color="auto" w:fill="auto"/>
            <w:hideMark/>
          </w:tcPr>
          <w:p w14:paraId="12E79C42" w14:textId="77777777" w:rsidR="00931F10" w:rsidRPr="00D77DA8" w:rsidRDefault="00931F10" w:rsidP="00C83E0B">
            <w:pPr>
              <w:pStyle w:val="DHHStabletext9pt"/>
              <w:rPr>
                <w:color w:val="000000"/>
              </w:rPr>
            </w:pPr>
            <w:r w:rsidRPr="00D77DA8">
              <w:rPr>
                <w:color w:val="000000"/>
              </w:rPr>
              <w:t>Outer Eastern</w:t>
            </w:r>
          </w:p>
        </w:tc>
        <w:tc>
          <w:tcPr>
            <w:tcW w:w="321" w:type="pct"/>
            <w:shd w:val="clear" w:color="auto" w:fill="auto"/>
            <w:hideMark/>
          </w:tcPr>
          <w:p w14:paraId="5A624E2A" w14:textId="77777777" w:rsidR="00931F10" w:rsidRPr="00D77DA8" w:rsidRDefault="00931F10" w:rsidP="00C83E0B">
            <w:pPr>
              <w:pStyle w:val="DHHStabletext9pt"/>
              <w:rPr>
                <w:color w:val="000000"/>
              </w:rPr>
            </w:pPr>
            <w:r w:rsidRPr="00D77DA8">
              <w:rPr>
                <w:color w:val="000000"/>
              </w:rPr>
              <w:t>East</w:t>
            </w:r>
          </w:p>
        </w:tc>
        <w:tc>
          <w:tcPr>
            <w:tcW w:w="345" w:type="pct"/>
            <w:shd w:val="clear" w:color="auto" w:fill="auto"/>
            <w:hideMark/>
          </w:tcPr>
          <w:p w14:paraId="085D9853" w14:textId="77777777" w:rsidR="00931F10" w:rsidRPr="00D77DA8" w:rsidRDefault="00931F10" w:rsidP="00C83E0B">
            <w:pPr>
              <w:pStyle w:val="DHHStabletext9pt"/>
              <w:rPr>
                <w:color w:val="000000"/>
              </w:rPr>
            </w:pPr>
            <w:r w:rsidRPr="00D77DA8">
              <w:rPr>
                <w:color w:val="000000"/>
              </w:rPr>
              <w:t>Outer Eastern</w:t>
            </w:r>
          </w:p>
        </w:tc>
        <w:tc>
          <w:tcPr>
            <w:tcW w:w="330" w:type="pct"/>
            <w:shd w:val="clear" w:color="auto" w:fill="auto"/>
            <w:hideMark/>
          </w:tcPr>
          <w:p w14:paraId="09A94D52" w14:textId="77777777" w:rsidR="00931F10" w:rsidRPr="004516DF" w:rsidRDefault="00931F10" w:rsidP="00C83E0B">
            <w:pPr>
              <w:pStyle w:val="DHHStabletext9pt"/>
              <w:rPr>
                <w:color w:val="000000"/>
              </w:rPr>
            </w:pPr>
            <w:r w:rsidRPr="004516DF">
              <w:rPr>
                <w:color w:val="000000"/>
              </w:rPr>
              <w:t>EACH</w:t>
            </w:r>
          </w:p>
        </w:tc>
        <w:tc>
          <w:tcPr>
            <w:tcW w:w="301" w:type="pct"/>
            <w:shd w:val="clear" w:color="auto" w:fill="auto"/>
            <w:hideMark/>
          </w:tcPr>
          <w:p w14:paraId="3F07F9DD" w14:textId="77777777" w:rsidR="00931F10" w:rsidRPr="00D77DA8" w:rsidRDefault="00931F10" w:rsidP="00C83E0B">
            <w:pPr>
              <w:pStyle w:val="DHHStabletext9pt"/>
              <w:rPr>
                <w:color w:val="000000"/>
              </w:rPr>
            </w:pPr>
            <w:r w:rsidRPr="00D77DA8">
              <w:rPr>
                <w:color w:val="000000"/>
              </w:rPr>
              <w:t>SEPHU</w:t>
            </w:r>
          </w:p>
        </w:tc>
        <w:tc>
          <w:tcPr>
            <w:tcW w:w="410" w:type="pct"/>
            <w:shd w:val="clear" w:color="auto" w:fill="auto"/>
            <w:hideMark/>
          </w:tcPr>
          <w:p w14:paraId="30095A2B"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shd w:val="clear" w:color="auto" w:fill="auto"/>
            <w:hideMark/>
          </w:tcPr>
          <w:p w14:paraId="71D4F703" w14:textId="77777777" w:rsidR="00931F10" w:rsidRPr="00D77DA8" w:rsidRDefault="00931F10" w:rsidP="00C83E0B">
            <w:pPr>
              <w:pStyle w:val="DHHStabletext9pt"/>
              <w:rPr>
                <w:color w:val="000000"/>
              </w:rPr>
            </w:pPr>
            <w:r w:rsidRPr="00D77DA8">
              <w:rPr>
                <w:color w:val="000000"/>
              </w:rPr>
              <w:t>Yes</w:t>
            </w:r>
          </w:p>
        </w:tc>
      </w:tr>
      <w:tr w:rsidR="00C83E0B" w:rsidRPr="003A1EF9" w14:paraId="30731DF3" w14:textId="77777777" w:rsidTr="00856F51">
        <w:trPr>
          <w:trHeight w:val="882"/>
        </w:trPr>
        <w:tc>
          <w:tcPr>
            <w:tcW w:w="383" w:type="pct"/>
            <w:shd w:val="clear" w:color="auto" w:fill="auto"/>
            <w:hideMark/>
          </w:tcPr>
          <w:p w14:paraId="529219ED" w14:textId="77777777" w:rsidR="00931F10" w:rsidRPr="00D77DA8" w:rsidRDefault="00931F10" w:rsidP="00C83E0B">
            <w:pPr>
              <w:pStyle w:val="DHHStabletext9pt"/>
            </w:pPr>
            <w:r w:rsidRPr="00D77DA8">
              <w:t>Knox City</w:t>
            </w:r>
          </w:p>
        </w:tc>
        <w:tc>
          <w:tcPr>
            <w:tcW w:w="2209" w:type="pct"/>
            <w:shd w:val="clear" w:color="auto" w:fill="auto"/>
            <w:hideMark/>
          </w:tcPr>
          <w:p w14:paraId="49F96D77" w14:textId="77777777" w:rsidR="00931F10" w:rsidRPr="00D77DA8" w:rsidRDefault="00931F10" w:rsidP="00C83E0B">
            <w:pPr>
              <w:pStyle w:val="DHHStabletext9pt"/>
              <w:rPr>
                <w:color w:val="000000"/>
              </w:rPr>
            </w:pPr>
            <w:r w:rsidRPr="00D77DA8">
              <w:rPr>
                <w:color w:val="000000"/>
              </w:rPr>
              <w:t>Bayswater, Boronia, Ferntree Gully, Knoxfield, Sassafras, Scoresby, The Basin, Wantirna</w:t>
            </w:r>
          </w:p>
        </w:tc>
        <w:tc>
          <w:tcPr>
            <w:tcW w:w="328" w:type="pct"/>
            <w:shd w:val="clear" w:color="auto" w:fill="auto"/>
            <w:hideMark/>
          </w:tcPr>
          <w:p w14:paraId="00E95C4E" w14:textId="77777777" w:rsidR="00931F10" w:rsidRPr="00D77DA8" w:rsidRDefault="00931F10" w:rsidP="00C83E0B">
            <w:pPr>
              <w:pStyle w:val="DHHStabletext9pt"/>
              <w:rPr>
                <w:color w:val="000000"/>
              </w:rPr>
            </w:pPr>
            <w:r w:rsidRPr="00D77DA8">
              <w:rPr>
                <w:color w:val="000000"/>
              </w:rPr>
              <w:t>Outer Eastern</w:t>
            </w:r>
          </w:p>
        </w:tc>
        <w:tc>
          <w:tcPr>
            <w:tcW w:w="321" w:type="pct"/>
            <w:shd w:val="clear" w:color="auto" w:fill="auto"/>
            <w:hideMark/>
          </w:tcPr>
          <w:p w14:paraId="1386C94C" w14:textId="77777777" w:rsidR="00931F10" w:rsidRPr="00D77DA8" w:rsidRDefault="00931F10" w:rsidP="00C83E0B">
            <w:pPr>
              <w:pStyle w:val="DHHStabletext9pt"/>
              <w:rPr>
                <w:color w:val="000000"/>
              </w:rPr>
            </w:pPr>
            <w:r w:rsidRPr="00D77DA8">
              <w:rPr>
                <w:color w:val="000000"/>
              </w:rPr>
              <w:t>East</w:t>
            </w:r>
          </w:p>
        </w:tc>
        <w:tc>
          <w:tcPr>
            <w:tcW w:w="345" w:type="pct"/>
            <w:shd w:val="clear" w:color="auto" w:fill="auto"/>
            <w:hideMark/>
          </w:tcPr>
          <w:p w14:paraId="34E51B7D" w14:textId="77777777" w:rsidR="00931F10" w:rsidRPr="00D77DA8" w:rsidRDefault="00931F10" w:rsidP="00C83E0B">
            <w:pPr>
              <w:pStyle w:val="DHHStabletext9pt"/>
              <w:rPr>
                <w:color w:val="000000"/>
              </w:rPr>
            </w:pPr>
            <w:r w:rsidRPr="00D77DA8">
              <w:rPr>
                <w:color w:val="000000"/>
              </w:rPr>
              <w:t>Outer Eastern</w:t>
            </w:r>
          </w:p>
        </w:tc>
        <w:tc>
          <w:tcPr>
            <w:tcW w:w="330" w:type="pct"/>
            <w:shd w:val="clear" w:color="auto" w:fill="auto"/>
            <w:hideMark/>
          </w:tcPr>
          <w:p w14:paraId="545C5633" w14:textId="77777777" w:rsidR="00931F10" w:rsidRPr="004516DF" w:rsidRDefault="00931F10" w:rsidP="00C83E0B">
            <w:pPr>
              <w:pStyle w:val="DHHStabletext9pt"/>
              <w:rPr>
                <w:color w:val="000000"/>
              </w:rPr>
            </w:pPr>
            <w:r w:rsidRPr="004516DF">
              <w:rPr>
                <w:color w:val="000000"/>
              </w:rPr>
              <w:t>EACH</w:t>
            </w:r>
          </w:p>
        </w:tc>
        <w:tc>
          <w:tcPr>
            <w:tcW w:w="301" w:type="pct"/>
            <w:shd w:val="clear" w:color="auto" w:fill="auto"/>
            <w:hideMark/>
          </w:tcPr>
          <w:p w14:paraId="7563C52B" w14:textId="77777777" w:rsidR="00931F10" w:rsidRPr="00D77DA8" w:rsidRDefault="00931F10" w:rsidP="00C83E0B">
            <w:pPr>
              <w:pStyle w:val="DHHStabletext9pt"/>
              <w:rPr>
                <w:color w:val="000000"/>
              </w:rPr>
            </w:pPr>
            <w:r w:rsidRPr="00D77DA8">
              <w:rPr>
                <w:color w:val="000000"/>
              </w:rPr>
              <w:t>NEPHU</w:t>
            </w:r>
          </w:p>
        </w:tc>
        <w:tc>
          <w:tcPr>
            <w:tcW w:w="410" w:type="pct"/>
            <w:shd w:val="clear" w:color="auto" w:fill="auto"/>
            <w:hideMark/>
          </w:tcPr>
          <w:p w14:paraId="0F8FF4AA"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shd w:val="clear" w:color="auto" w:fill="auto"/>
            <w:hideMark/>
          </w:tcPr>
          <w:p w14:paraId="20A9E2EB" w14:textId="77777777" w:rsidR="00931F10" w:rsidRPr="00D77DA8" w:rsidRDefault="00931F10" w:rsidP="00C83E0B">
            <w:pPr>
              <w:pStyle w:val="DHHStabletext9pt"/>
              <w:rPr>
                <w:color w:val="000000"/>
              </w:rPr>
            </w:pPr>
            <w:r w:rsidRPr="00D77DA8">
              <w:rPr>
                <w:color w:val="000000"/>
              </w:rPr>
              <w:t>Yes</w:t>
            </w:r>
          </w:p>
        </w:tc>
      </w:tr>
      <w:tr w:rsidR="00C83E0B" w:rsidRPr="003A1EF9" w14:paraId="29246B14" w14:textId="77777777" w:rsidTr="00856F51">
        <w:trPr>
          <w:trHeight w:val="1193"/>
        </w:trPr>
        <w:tc>
          <w:tcPr>
            <w:tcW w:w="383" w:type="pct"/>
            <w:hideMark/>
          </w:tcPr>
          <w:p w14:paraId="4B50BF2E" w14:textId="77777777" w:rsidR="00931F10" w:rsidRPr="00D77DA8" w:rsidRDefault="00931F10" w:rsidP="00C83E0B">
            <w:pPr>
              <w:pStyle w:val="DHHStabletext9pt"/>
            </w:pPr>
            <w:r w:rsidRPr="00D77DA8">
              <w:t>Latrobe City</w:t>
            </w:r>
          </w:p>
        </w:tc>
        <w:tc>
          <w:tcPr>
            <w:tcW w:w="2209" w:type="pct"/>
            <w:hideMark/>
          </w:tcPr>
          <w:p w14:paraId="73C3219F" w14:textId="77777777" w:rsidR="00931F10" w:rsidRPr="00D77DA8" w:rsidRDefault="00931F10" w:rsidP="00C83E0B">
            <w:pPr>
              <w:pStyle w:val="DHHStabletext9pt"/>
              <w:rPr>
                <w:color w:val="000000"/>
              </w:rPr>
            </w:pPr>
            <w:r w:rsidRPr="00D77DA8">
              <w:rPr>
                <w:color w:val="000000"/>
              </w:rPr>
              <w:t>Balook, Boola, Boolarra, Boolarra South, Budgeree, Callignee, Churchill, Cowwarr, Darlimurla, Delburn, Driffield, Flynn, Flynns Creek, Glengarry, Glengarry North, Glengarry West, Grand Ridge, Hazelwood, Hazelwood North, Hazelwood South, Hernes Oak, Jeeralang, Jeeralang Junction, Jumbuk, Koornalla, Loy Yang, Maryvale, Mid Valley, Mirboo, Moe, Moe South, Moondarra, Morwell, Mount Tassie, Narracan, Newborough, Tanjil South, Toongabbie, Traralgon, Traralgon East, Traralgon South, Tyers, Yallourn, Yallourn North, Yinnar And Yinnar South</w:t>
            </w:r>
          </w:p>
        </w:tc>
        <w:tc>
          <w:tcPr>
            <w:tcW w:w="328" w:type="pct"/>
            <w:hideMark/>
          </w:tcPr>
          <w:p w14:paraId="1FEDCFC4" w14:textId="77777777" w:rsidR="00931F10" w:rsidRPr="00D77DA8" w:rsidRDefault="00931F10" w:rsidP="00C83E0B">
            <w:pPr>
              <w:pStyle w:val="DHHStabletext9pt"/>
              <w:rPr>
                <w:color w:val="000000"/>
              </w:rPr>
            </w:pPr>
            <w:r w:rsidRPr="00D77DA8">
              <w:rPr>
                <w:color w:val="000000"/>
              </w:rPr>
              <w:t>Inner Gippsland Area (IGA)</w:t>
            </w:r>
          </w:p>
        </w:tc>
        <w:tc>
          <w:tcPr>
            <w:tcW w:w="321" w:type="pct"/>
            <w:hideMark/>
          </w:tcPr>
          <w:p w14:paraId="0148678D"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51B93B6D" w14:textId="77777777" w:rsidR="00931F10" w:rsidRPr="00D77DA8" w:rsidRDefault="00931F10" w:rsidP="00C83E0B">
            <w:pPr>
              <w:pStyle w:val="DHHStabletext9pt"/>
              <w:rPr>
                <w:color w:val="000000"/>
              </w:rPr>
            </w:pPr>
            <w:r w:rsidRPr="00D77DA8">
              <w:rPr>
                <w:color w:val="000000"/>
              </w:rPr>
              <w:t xml:space="preserve">Inner Gippsland </w:t>
            </w:r>
          </w:p>
        </w:tc>
        <w:tc>
          <w:tcPr>
            <w:tcW w:w="330" w:type="pct"/>
            <w:hideMark/>
          </w:tcPr>
          <w:p w14:paraId="4A29AF12" w14:textId="77777777" w:rsidR="00931F10" w:rsidRPr="00D77DA8" w:rsidRDefault="00931F10" w:rsidP="00C83E0B">
            <w:pPr>
              <w:pStyle w:val="DHHStabletext9pt"/>
              <w:rPr>
                <w:color w:val="000000"/>
              </w:rPr>
            </w:pPr>
            <w:r w:rsidRPr="004516DF">
              <w:rPr>
                <w:color w:val="000000"/>
              </w:rPr>
              <w:t>La Trobe Community Health Service</w:t>
            </w:r>
          </w:p>
        </w:tc>
        <w:tc>
          <w:tcPr>
            <w:tcW w:w="301" w:type="pct"/>
            <w:hideMark/>
          </w:tcPr>
          <w:p w14:paraId="3C2E2F1D" w14:textId="77777777" w:rsidR="00931F10" w:rsidRPr="00D77DA8" w:rsidRDefault="00931F10" w:rsidP="00C83E0B">
            <w:pPr>
              <w:pStyle w:val="DHHStabletext9pt"/>
              <w:rPr>
                <w:color w:val="000000"/>
              </w:rPr>
            </w:pPr>
            <w:r w:rsidRPr="00D77DA8">
              <w:rPr>
                <w:color w:val="000000"/>
              </w:rPr>
              <w:t>La Trobe Health</w:t>
            </w:r>
          </w:p>
        </w:tc>
        <w:tc>
          <w:tcPr>
            <w:tcW w:w="410" w:type="pct"/>
            <w:hideMark/>
          </w:tcPr>
          <w:p w14:paraId="52D242C0" w14:textId="77777777" w:rsidR="00931F10" w:rsidRPr="00D77DA8" w:rsidRDefault="00931F10" w:rsidP="00C83E0B">
            <w:pPr>
              <w:pStyle w:val="DHHStabletext9pt"/>
              <w:rPr>
                <w:color w:val="000000"/>
              </w:rPr>
            </w:pPr>
            <w:r w:rsidRPr="00D77DA8">
              <w:rPr>
                <w:color w:val="000000"/>
              </w:rPr>
              <w:t>Gippsland - Lead - La Trobe Regional Health</w:t>
            </w:r>
          </w:p>
        </w:tc>
        <w:tc>
          <w:tcPr>
            <w:tcW w:w="373" w:type="pct"/>
            <w:hideMark/>
          </w:tcPr>
          <w:p w14:paraId="6757AA12" w14:textId="77777777" w:rsidR="00931F10" w:rsidRPr="00D77DA8" w:rsidRDefault="00931F10" w:rsidP="00C83E0B">
            <w:pPr>
              <w:pStyle w:val="DHHStabletext9pt"/>
              <w:rPr>
                <w:color w:val="000000"/>
              </w:rPr>
            </w:pPr>
            <w:r w:rsidRPr="00D77DA8">
              <w:rPr>
                <w:color w:val="000000"/>
              </w:rPr>
              <w:t>Yes</w:t>
            </w:r>
          </w:p>
        </w:tc>
      </w:tr>
      <w:tr w:rsidR="00C83E0B" w:rsidRPr="003A1EF9" w14:paraId="395D6CB7" w14:textId="77777777" w:rsidTr="00856F51">
        <w:trPr>
          <w:trHeight w:val="3080"/>
        </w:trPr>
        <w:tc>
          <w:tcPr>
            <w:tcW w:w="383" w:type="pct"/>
            <w:hideMark/>
          </w:tcPr>
          <w:p w14:paraId="752C9F60" w14:textId="77777777" w:rsidR="00931F10" w:rsidRPr="00D77DA8" w:rsidRDefault="00931F10" w:rsidP="00C83E0B">
            <w:pPr>
              <w:pStyle w:val="DHHStabletext9pt"/>
            </w:pPr>
            <w:r w:rsidRPr="00D77DA8">
              <w:t>Loddon Shire</w:t>
            </w:r>
          </w:p>
        </w:tc>
        <w:tc>
          <w:tcPr>
            <w:tcW w:w="2209" w:type="pct"/>
            <w:hideMark/>
          </w:tcPr>
          <w:p w14:paraId="4BEB2028" w14:textId="77777777" w:rsidR="00931F10" w:rsidRPr="00D77DA8" w:rsidRDefault="00931F10" w:rsidP="00C83E0B">
            <w:pPr>
              <w:pStyle w:val="DHHStabletext9pt"/>
              <w:rPr>
                <w:color w:val="000000"/>
              </w:rPr>
            </w:pPr>
            <w:r w:rsidRPr="00D77DA8">
              <w:rPr>
                <w:color w:val="000000"/>
              </w:rPr>
              <w:t>Appin South; Arnold; Arnold West; Auchmore; Barraport; Barraport West; Bealiba; Bears Lagoon; Berrimal; Boort; Borung; Brenanah; Bridgewater; Bridgewater North; Bridgewater On Loddon; Buckrabanyule; Burkes Flat; Calivil; Campbells Forest; Canary Island; Catumnal; Cochranes Creek; Coonooer Bridge; Derby; Dingee; Dunolly; Durham Ox; Eastville; Eddington; Emu; Fentons Creek; Fernihurst; Fiery Flat; Gladfield; Glenalbyn; Glenloth East; Goldsborough; Gowar East; Gredgwin; Horfield; Inglewood; Inkerman; Jarklin; Jungaburra; Kamarooka; Kamarooka North; Kingower; Kinypanial; Korong Vale; Kurraca; Kurraca West; Kurting; Laanecoorie; Lake Marmal; Lake Meran; Leaghur; Leichardt; Leitchville; Llanelly; Loddon Vale; Logan; Macorna; Marong; Mcintyre; Meering West; Milloo; Mincha; Minmindie; Mitiamo; Moliagul; Mologa; Murphys Creek; Mysia; Newbridge; Nine Mile; Painswick; Pompapiel; Powlett Plains; Prairie; Pyramid Hill; Raywood; Rheola; Richmond Plains; Salisbury West; Sebastian; Serpentine; Shelbourne; Skinners Flat; Slaty Creek; Sylvaterre; Tandarra; Tarnagulla; Terrappee; Terrick Terrick; Waanyarra; Wedderburn; Wedderburn Junction; Wehla; Woodstock On Loddon; Woodstock West; Woolshed Flat; Woosang; Wychitella; Wychitella North; Yando; Yarraberb; Yarrawalla; Yeungroon East;</w:t>
            </w:r>
          </w:p>
        </w:tc>
        <w:tc>
          <w:tcPr>
            <w:tcW w:w="328" w:type="pct"/>
            <w:hideMark/>
          </w:tcPr>
          <w:p w14:paraId="163D8928" w14:textId="77777777" w:rsidR="00931F10" w:rsidRPr="00D77DA8" w:rsidRDefault="00931F10" w:rsidP="00C83E0B">
            <w:pPr>
              <w:pStyle w:val="DHHStabletext9pt"/>
              <w:rPr>
                <w:color w:val="000000"/>
              </w:rPr>
            </w:pPr>
            <w:r w:rsidRPr="00D77DA8">
              <w:rPr>
                <w:color w:val="000000"/>
              </w:rPr>
              <w:t>Loddon</w:t>
            </w:r>
          </w:p>
        </w:tc>
        <w:tc>
          <w:tcPr>
            <w:tcW w:w="321" w:type="pct"/>
            <w:hideMark/>
          </w:tcPr>
          <w:p w14:paraId="51C38937"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5573D9F9" w14:textId="77777777" w:rsidR="00931F10" w:rsidRPr="00D77DA8" w:rsidRDefault="00931F10" w:rsidP="00C83E0B">
            <w:pPr>
              <w:pStyle w:val="DHHStabletext9pt"/>
              <w:rPr>
                <w:color w:val="000000"/>
              </w:rPr>
            </w:pPr>
            <w:r w:rsidRPr="00D77DA8">
              <w:rPr>
                <w:color w:val="000000"/>
              </w:rPr>
              <w:t>Loddon</w:t>
            </w:r>
          </w:p>
        </w:tc>
        <w:tc>
          <w:tcPr>
            <w:tcW w:w="330" w:type="pct"/>
            <w:hideMark/>
          </w:tcPr>
          <w:p w14:paraId="587DFAE0" w14:textId="77777777" w:rsidR="00931F10" w:rsidRPr="00D77DA8" w:rsidRDefault="00931F10" w:rsidP="00C83E0B">
            <w:pPr>
              <w:pStyle w:val="DHHStabletext9pt"/>
              <w:rPr>
                <w:rFonts w:cstheme="minorBidi"/>
                <w:color w:val="000000"/>
              </w:rPr>
            </w:pPr>
            <w:r w:rsidRPr="76CA946F">
              <w:rPr>
                <w:rFonts w:cstheme="minorBidi"/>
                <w:color w:val="000000" w:themeColor="text1"/>
              </w:rPr>
              <w:t>Bendigo Community Health Services</w:t>
            </w:r>
          </w:p>
        </w:tc>
        <w:tc>
          <w:tcPr>
            <w:tcW w:w="301" w:type="pct"/>
            <w:hideMark/>
          </w:tcPr>
          <w:p w14:paraId="740E3FE9" w14:textId="77777777" w:rsidR="00931F10" w:rsidRPr="00D77DA8" w:rsidRDefault="00931F10" w:rsidP="00C83E0B">
            <w:pPr>
              <w:pStyle w:val="DHHStabletext9pt"/>
              <w:rPr>
                <w:color w:val="000000"/>
              </w:rPr>
            </w:pPr>
            <w:r w:rsidRPr="00D77DA8">
              <w:rPr>
                <w:color w:val="000000"/>
              </w:rPr>
              <w:t>Bendigo Health</w:t>
            </w:r>
          </w:p>
        </w:tc>
        <w:tc>
          <w:tcPr>
            <w:tcW w:w="410" w:type="pct"/>
            <w:hideMark/>
          </w:tcPr>
          <w:p w14:paraId="61B6B3FF" w14:textId="77777777" w:rsidR="00931F10" w:rsidRPr="00D77DA8" w:rsidRDefault="00931F10" w:rsidP="00C83E0B">
            <w:pPr>
              <w:pStyle w:val="DHHStabletext9pt"/>
              <w:rPr>
                <w:color w:val="000000"/>
              </w:rPr>
            </w:pPr>
            <w:r w:rsidRPr="00D77DA8">
              <w:rPr>
                <w:color w:val="000000"/>
              </w:rPr>
              <w:t>Loddon Mallee - Bendigo Health</w:t>
            </w:r>
          </w:p>
        </w:tc>
        <w:tc>
          <w:tcPr>
            <w:tcW w:w="373" w:type="pct"/>
            <w:hideMark/>
          </w:tcPr>
          <w:p w14:paraId="39241C46" w14:textId="77777777" w:rsidR="00931F10" w:rsidRPr="00D77DA8" w:rsidRDefault="00931F10" w:rsidP="00C83E0B">
            <w:pPr>
              <w:pStyle w:val="DHHStabletext9pt"/>
              <w:rPr>
                <w:color w:val="000000"/>
              </w:rPr>
            </w:pPr>
            <w:r w:rsidRPr="00D77DA8">
              <w:rPr>
                <w:color w:val="000000"/>
              </w:rPr>
              <w:t>Yes</w:t>
            </w:r>
          </w:p>
        </w:tc>
      </w:tr>
      <w:tr w:rsidR="00C83E0B" w:rsidRPr="003A1EF9" w14:paraId="48EBA29B" w14:textId="77777777" w:rsidTr="00856F51">
        <w:trPr>
          <w:trHeight w:val="1467"/>
        </w:trPr>
        <w:tc>
          <w:tcPr>
            <w:tcW w:w="383" w:type="pct"/>
            <w:hideMark/>
          </w:tcPr>
          <w:p w14:paraId="502086AA" w14:textId="77777777" w:rsidR="00931F10" w:rsidRPr="00D77DA8" w:rsidRDefault="00931F10" w:rsidP="00C83E0B">
            <w:pPr>
              <w:pStyle w:val="DHHStabletext9pt"/>
            </w:pPr>
            <w:r w:rsidRPr="00D77DA8">
              <w:lastRenderedPageBreak/>
              <w:t>Macedon Ranges Shire</w:t>
            </w:r>
          </w:p>
        </w:tc>
        <w:tc>
          <w:tcPr>
            <w:tcW w:w="2209" w:type="pct"/>
            <w:hideMark/>
          </w:tcPr>
          <w:p w14:paraId="0ADB0DF7" w14:textId="77777777" w:rsidR="00931F10" w:rsidRPr="00D77DA8" w:rsidRDefault="00931F10" w:rsidP="00C83E0B">
            <w:pPr>
              <w:pStyle w:val="DHHStabletext9pt"/>
              <w:rPr>
                <w:color w:val="000000"/>
              </w:rPr>
            </w:pPr>
            <w:r w:rsidRPr="00D77DA8">
              <w:rPr>
                <w:color w:val="000000"/>
              </w:rPr>
              <w:t>Ashbourne; Baynton; Baynton East; Benloch; Bolinda; Bullengarook; Bylands; Cadello; Carlsruhe; Cherokee; Chintin; Clarkefield; Cobaw; Darraweit Guim; Denver; Drummond; Edgecombe; Fern Hill; Gisborne; Gisborne South; Goldie; Greenhill; Hesket; Kerrie; Kyneton; Kyneton South; Lancefield; Lauriston; Macedon; Malmsbury; Monegeetta; Mount Macedon; New Gisborne; Newham; Pastoria; Pastoria East; Pipers Creek; Riddells Creek; Rochford; Romsey; Sidonia; Spring Hill; Springfield (Macedon Ranges); Tantaraboo; Taradale; Toolern Vale; Trentham East; Tylden; Woodend; Woodend North;</w:t>
            </w:r>
          </w:p>
        </w:tc>
        <w:tc>
          <w:tcPr>
            <w:tcW w:w="328" w:type="pct"/>
            <w:hideMark/>
          </w:tcPr>
          <w:p w14:paraId="10B366EB" w14:textId="77777777" w:rsidR="00931F10" w:rsidRPr="00D77DA8" w:rsidRDefault="00931F10" w:rsidP="00C83E0B">
            <w:pPr>
              <w:pStyle w:val="DHHStabletext9pt"/>
              <w:rPr>
                <w:color w:val="000000"/>
              </w:rPr>
            </w:pPr>
            <w:r w:rsidRPr="00D77DA8">
              <w:rPr>
                <w:color w:val="000000"/>
              </w:rPr>
              <w:t>Loddon</w:t>
            </w:r>
          </w:p>
        </w:tc>
        <w:tc>
          <w:tcPr>
            <w:tcW w:w="321" w:type="pct"/>
            <w:hideMark/>
          </w:tcPr>
          <w:p w14:paraId="4D8002F6"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42FE7D0C" w14:textId="77777777" w:rsidR="00931F10" w:rsidRPr="00D77DA8" w:rsidRDefault="00931F10" w:rsidP="00C83E0B">
            <w:pPr>
              <w:pStyle w:val="DHHStabletext9pt"/>
              <w:rPr>
                <w:color w:val="000000"/>
              </w:rPr>
            </w:pPr>
            <w:r w:rsidRPr="00D77DA8">
              <w:rPr>
                <w:color w:val="000000"/>
              </w:rPr>
              <w:t>Loddon</w:t>
            </w:r>
          </w:p>
        </w:tc>
        <w:tc>
          <w:tcPr>
            <w:tcW w:w="330" w:type="pct"/>
            <w:hideMark/>
          </w:tcPr>
          <w:p w14:paraId="380FFB7E" w14:textId="77777777" w:rsidR="00931F10" w:rsidRPr="00856F51" w:rsidRDefault="00931F10" w:rsidP="00856F51">
            <w:pPr>
              <w:pStyle w:val="DHHStabletext9pt"/>
              <w:rPr>
                <w:rFonts w:eastAsia="Calibri"/>
              </w:rPr>
            </w:pPr>
            <w:r w:rsidRPr="00856F51">
              <w:rPr>
                <w:rFonts w:eastAsia="Calibri"/>
              </w:rPr>
              <w:t xml:space="preserve">Bendigo </w:t>
            </w:r>
          </w:p>
          <w:p w14:paraId="415F59AC" w14:textId="2F3703AF" w:rsidR="00931F10" w:rsidRPr="00856F51" w:rsidRDefault="00931F10" w:rsidP="00856F51">
            <w:pPr>
              <w:pStyle w:val="DHHStabletext9pt"/>
              <w:rPr>
                <w:rFonts w:eastAsia="Calibri"/>
              </w:rPr>
            </w:pPr>
            <w:r w:rsidRPr="00856F51">
              <w:rPr>
                <w:rFonts w:eastAsia="Calibri"/>
              </w:rPr>
              <w:t>Community Health Services</w:t>
            </w:r>
          </w:p>
        </w:tc>
        <w:tc>
          <w:tcPr>
            <w:tcW w:w="301" w:type="pct"/>
            <w:hideMark/>
          </w:tcPr>
          <w:p w14:paraId="01FFFA46" w14:textId="77777777" w:rsidR="00931F10" w:rsidRPr="00D77DA8" w:rsidRDefault="00931F10" w:rsidP="00C83E0B">
            <w:pPr>
              <w:pStyle w:val="DHHStabletext9pt"/>
              <w:rPr>
                <w:color w:val="000000"/>
              </w:rPr>
            </w:pPr>
            <w:r w:rsidRPr="00D77DA8">
              <w:rPr>
                <w:color w:val="000000"/>
              </w:rPr>
              <w:t>Goulburn Health</w:t>
            </w:r>
          </w:p>
        </w:tc>
        <w:tc>
          <w:tcPr>
            <w:tcW w:w="410" w:type="pct"/>
            <w:hideMark/>
          </w:tcPr>
          <w:p w14:paraId="5430FA4A"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75FEBED3" w14:textId="77777777" w:rsidR="00931F10" w:rsidRPr="00D77DA8" w:rsidRDefault="00931F10" w:rsidP="00C83E0B">
            <w:pPr>
              <w:pStyle w:val="DHHStabletext9pt"/>
              <w:rPr>
                <w:color w:val="000000"/>
              </w:rPr>
            </w:pPr>
            <w:r w:rsidRPr="00D77DA8">
              <w:rPr>
                <w:color w:val="000000"/>
              </w:rPr>
              <w:t>Yes</w:t>
            </w:r>
          </w:p>
        </w:tc>
      </w:tr>
      <w:tr w:rsidR="00C83E0B" w:rsidRPr="003A1EF9" w14:paraId="6DA527F3" w14:textId="77777777" w:rsidTr="00856F51">
        <w:trPr>
          <w:trHeight w:val="554"/>
        </w:trPr>
        <w:tc>
          <w:tcPr>
            <w:tcW w:w="383" w:type="pct"/>
            <w:hideMark/>
          </w:tcPr>
          <w:p w14:paraId="12C9FB30" w14:textId="77777777" w:rsidR="00931F10" w:rsidRPr="00D77DA8" w:rsidRDefault="00931F10" w:rsidP="00C83E0B">
            <w:pPr>
              <w:pStyle w:val="DHHStabletext9pt"/>
            </w:pPr>
            <w:r w:rsidRPr="00D77DA8">
              <w:t>Manningham City</w:t>
            </w:r>
          </w:p>
        </w:tc>
        <w:tc>
          <w:tcPr>
            <w:tcW w:w="2209" w:type="pct"/>
            <w:hideMark/>
          </w:tcPr>
          <w:p w14:paraId="69B622F9" w14:textId="77777777" w:rsidR="00931F10" w:rsidRPr="00D77DA8" w:rsidRDefault="00931F10" w:rsidP="00C83E0B">
            <w:pPr>
              <w:pStyle w:val="DHHStabletext9pt"/>
            </w:pPr>
            <w:r w:rsidRPr="00D77DA8">
              <w:t>Bulleen, Doncaster, Doncaster East, Donvale, Nunawading, Park Orchards, Ringwood North, Templestowe, Templestowe Lower, Warrandyte, Warrandyte South, Wonga Park</w:t>
            </w:r>
          </w:p>
        </w:tc>
        <w:tc>
          <w:tcPr>
            <w:tcW w:w="328" w:type="pct"/>
            <w:hideMark/>
          </w:tcPr>
          <w:p w14:paraId="0B688FB0" w14:textId="77777777" w:rsidR="00931F10" w:rsidRPr="00D77DA8" w:rsidRDefault="00931F10" w:rsidP="00C83E0B">
            <w:pPr>
              <w:pStyle w:val="DHHStabletext9pt"/>
              <w:rPr>
                <w:color w:val="000000"/>
              </w:rPr>
            </w:pPr>
            <w:r w:rsidRPr="00D77DA8">
              <w:rPr>
                <w:color w:val="000000"/>
              </w:rPr>
              <w:t>Outer Eastern</w:t>
            </w:r>
          </w:p>
        </w:tc>
        <w:tc>
          <w:tcPr>
            <w:tcW w:w="321" w:type="pct"/>
            <w:hideMark/>
          </w:tcPr>
          <w:p w14:paraId="455D15A0"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1F1367EE" w14:textId="77777777" w:rsidR="00931F10" w:rsidRPr="00D77DA8" w:rsidRDefault="00931F10" w:rsidP="00C83E0B">
            <w:pPr>
              <w:pStyle w:val="DHHStabletext9pt"/>
              <w:rPr>
                <w:color w:val="000000"/>
              </w:rPr>
            </w:pPr>
            <w:r w:rsidRPr="00D77DA8">
              <w:rPr>
                <w:color w:val="000000"/>
              </w:rPr>
              <w:t>Outer Eastern</w:t>
            </w:r>
          </w:p>
        </w:tc>
        <w:tc>
          <w:tcPr>
            <w:tcW w:w="330" w:type="pct"/>
            <w:hideMark/>
          </w:tcPr>
          <w:p w14:paraId="4686CFE8" w14:textId="77777777" w:rsidR="00931F10" w:rsidRPr="003B479D" w:rsidRDefault="00931F10" w:rsidP="00C83E0B">
            <w:pPr>
              <w:pStyle w:val="DHHStabletext9pt"/>
              <w:rPr>
                <w:color w:val="000000"/>
              </w:rPr>
            </w:pPr>
            <w:r w:rsidRPr="003B479D">
              <w:rPr>
                <w:color w:val="000000"/>
              </w:rPr>
              <w:t>EACH</w:t>
            </w:r>
          </w:p>
        </w:tc>
        <w:tc>
          <w:tcPr>
            <w:tcW w:w="301" w:type="pct"/>
            <w:hideMark/>
          </w:tcPr>
          <w:p w14:paraId="3CE2C4D5" w14:textId="77777777" w:rsidR="00931F10" w:rsidRPr="00D77DA8" w:rsidRDefault="00931F10" w:rsidP="00C83E0B">
            <w:pPr>
              <w:pStyle w:val="DHHStabletext9pt"/>
              <w:rPr>
                <w:color w:val="000000"/>
              </w:rPr>
            </w:pPr>
            <w:r w:rsidRPr="00D77DA8">
              <w:rPr>
                <w:color w:val="000000"/>
              </w:rPr>
              <w:t>NEPHU</w:t>
            </w:r>
          </w:p>
        </w:tc>
        <w:tc>
          <w:tcPr>
            <w:tcW w:w="410" w:type="pct"/>
            <w:hideMark/>
          </w:tcPr>
          <w:p w14:paraId="62A5F924"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hideMark/>
          </w:tcPr>
          <w:p w14:paraId="1453CB26" w14:textId="77777777" w:rsidR="00931F10" w:rsidRPr="00D77DA8" w:rsidRDefault="00931F10" w:rsidP="00C83E0B">
            <w:pPr>
              <w:pStyle w:val="DHHStabletext9pt"/>
              <w:rPr>
                <w:color w:val="000000"/>
              </w:rPr>
            </w:pPr>
          </w:p>
        </w:tc>
      </w:tr>
      <w:tr w:rsidR="00C83E0B" w:rsidRPr="003A1EF9" w14:paraId="78E4E08B" w14:textId="77777777" w:rsidTr="00856F51">
        <w:trPr>
          <w:trHeight w:val="766"/>
        </w:trPr>
        <w:tc>
          <w:tcPr>
            <w:tcW w:w="383" w:type="pct"/>
            <w:hideMark/>
          </w:tcPr>
          <w:p w14:paraId="73FA897D" w14:textId="77777777" w:rsidR="00931F10" w:rsidRPr="00D77DA8" w:rsidRDefault="00931F10" w:rsidP="00C83E0B">
            <w:pPr>
              <w:pStyle w:val="DHHStabletext9pt"/>
            </w:pPr>
            <w:r w:rsidRPr="00D77DA8">
              <w:t>Mansfield Shire</w:t>
            </w:r>
          </w:p>
        </w:tc>
        <w:tc>
          <w:tcPr>
            <w:tcW w:w="2209" w:type="pct"/>
            <w:hideMark/>
          </w:tcPr>
          <w:p w14:paraId="6D79761F" w14:textId="77777777" w:rsidR="00931F10" w:rsidRPr="00D77DA8" w:rsidRDefault="00931F10" w:rsidP="00C83E0B">
            <w:pPr>
              <w:pStyle w:val="DHHStabletext9pt"/>
            </w:pPr>
            <w:r w:rsidRPr="00D77DA8">
              <w:t>Ancona, Barjarg, Barwite, Bonnie Doon, Boorolite, Bridge Creek, Delatite, Gaffneys Creek, Goughs Bay, Howes Creek, Howqua, Howqua Hills, Howqua Inlet, Jamieson, Kevington, Lake Eildon, Nillahcootie, Piries, Sawmill Settlement, Tolmie, Woodfield, Woods Point</w:t>
            </w:r>
          </w:p>
        </w:tc>
        <w:tc>
          <w:tcPr>
            <w:tcW w:w="328" w:type="pct"/>
            <w:hideMark/>
          </w:tcPr>
          <w:p w14:paraId="67B56AE3" w14:textId="77777777" w:rsidR="00931F10" w:rsidRPr="00D77DA8" w:rsidRDefault="00931F10" w:rsidP="00C83E0B">
            <w:pPr>
              <w:pStyle w:val="DHHStabletext9pt"/>
              <w:rPr>
                <w:color w:val="000000"/>
              </w:rPr>
            </w:pPr>
            <w:r w:rsidRPr="00D77DA8">
              <w:rPr>
                <w:color w:val="000000"/>
              </w:rPr>
              <w:t>Ovens Murray</w:t>
            </w:r>
          </w:p>
        </w:tc>
        <w:tc>
          <w:tcPr>
            <w:tcW w:w="321" w:type="pct"/>
            <w:hideMark/>
          </w:tcPr>
          <w:p w14:paraId="35D26866"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63FBD40A" w14:textId="77777777" w:rsidR="00931F10" w:rsidRPr="00D77DA8" w:rsidRDefault="00931F10" w:rsidP="00C83E0B">
            <w:pPr>
              <w:pStyle w:val="DHHStabletext9pt"/>
              <w:rPr>
                <w:color w:val="000000"/>
              </w:rPr>
            </w:pPr>
            <w:r w:rsidRPr="00D77DA8">
              <w:rPr>
                <w:color w:val="000000"/>
              </w:rPr>
              <w:t>Ovens Murray</w:t>
            </w:r>
          </w:p>
        </w:tc>
        <w:tc>
          <w:tcPr>
            <w:tcW w:w="330" w:type="pct"/>
            <w:hideMark/>
          </w:tcPr>
          <w:p w14:paraId="4F026C4F" w14:textId="77777777" w:rsidR="00931F10" w:rsidRPr="00D77DA8" w:rsidRDefault="00931F10" w:rsidP="00C83E0B">
            <w:pPr>
              <w:pStyle w:val="DHHStabletext9pt"/>
              <w:rPr>
                <w:color w:val="000000"/>
              </w:rPr>
            </w:pPr>
            <w:r w:rsidRPr="00D77DA8">
              <w:rPr>
                <w:color w:val="000000"/>
              </w:rPr>
              <w:t>Gateway Health</w:t>
            </w:r>
          </w:p>
        </w:tc>
        <w:tc>
          <w:tcPr>
            <w:tcW w:w="301" w:type="pct"/>
            <w:hideMark/>
          </w:tcPr>
          <w:p w14:paraId="2B01E306" w14:textId="77777777" w:rsidR="00931F10" w:rsidRPr="00D77DA8" w:rsidRDefault="00931F10" w:rsidP="00C83E0B">
            <w:pPr>
              <w:pStyle w:val="DHHStabletext9pt"/>
              <w:rPr>
                <w:color w:val="000000"/>
              </w:rPr>
            </w:pPr>
            <w:r w:rsidRPr="00D77DA8">
              <w:rPr>
                <w:color w:val="000000"/>
              </w:rPr>
              <w:t>Goulburn Health</w:t>
            </w:r>
          </w:p>
        </w:tc>
        <w:tc>
          <w:tcPr>
            <w:tcW w:w="410" w:type="pct"/>
            <w:hideMark/>
          </w:tcPr>
          <w:p w14:paraId="026F2C3C"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7E009F1C" w14:textId="77777777" w:rsidR="00931F10" w:rsidRPr="00D77DA8" w:rsidRDefault="00931F10" w:rsidP="00C83E0B">
            <w:pPr>
              <w:pStyle w:val="DHHStabletext9pt"/>
              <w:rPr>
                <w:color w:val="000000"/>
              </w:rPr>
            </w:pPr>
            <w:r w:rsidRPr="00D77DA8">
              <w:rPr>
                <w:color w:val="000000"/>
              </w:rPr>
              <w:t>Yes</w:t>
            </w:r>
          </w:p>
        </w:tc>
      </w:tr>
      <w:tr w:rsidR="00C83E0B" w:rsidRPr="003A1EF9" w14:paraId="3E093595" w14:textId="77777777" w:rsidTr="00856F51">
        <w:trPr>
          <w:trHeight w:val="900"/>
        </w:trPr>
        <w:tc>
          <w:tcPr>
            <w:tcW w:w="383" w:type="pct"/>
            <w:hideMark/>
          </w:tcPr>
          <w:p w14:paraId="7F873080" w14:textId="77777777" w:rsidR="00931F10" w:rsidRPr="00D77DA8" w:rsidRDefault="00931F10" w:rsidP="00C83E0B">
            <w:pPr>
              <w:pStyle w:val="DHHStabletext9pt"/>
            </w:pPr>
            <w:r w:rsidRPr="00D77DA8">
              <w:t>Maribyrnong City</w:t>
            </w:r>
          </w:p>
        </w:tc>
        <w:tc>
          <w:tcPr>
            <w:tcW w:w="2209" w:type="pct"/>
            <w:hideMark/>
          </w:tcPr>
          <w:p w14:paraId="005C9005" w14:textId="77777777" w:rsidR="00931F10" w:rsidRPr="00D77DA8" w:rsidRDefault="00931F10" w:rsidP="00C83E0B">
            <w:pPr>
              <w:pStyle w:val="DHHStabletext9pt"/>
              <w:rPr>
                <w:color w:val="000000"/>
              </w:rPr>
            </w:pPr>
            <w:r w:rsidRPr="00D77DA8">
              <w:rPr>
                <w:color w:val="000000"/>
              </w:rPr>
              <w:t>Braybrook; Footscray; Kingsville; Maidstone; Maribyrnong; Seddon; Tottenham; West Footscray; Yarraville</w:t>
            </w:r>
          </w:p>
        </w:tc>
        <w:tc>
          <w:tcPr>
            <w:tcW w:w="328" w:type="pct"/>
            <w:hideMark/>
          </w:tcPr>
          <w:p w14:paraId="7A0DCA7B" w14:textId="77777777" w:rsidR="00931F10" w:rsidRPr="00D77DA8" w:rsidRDefault="00931F10" w:rsidP="00C83E0B">
            <w:pPr>
              <w:pStyle w:val="DHHStabletext9pt"/>
              <w:rPr>
                <w:color w:val="000000"/>
              </w:rPr>
            </w:pPr>
            <w:r w:rsidRPr="00D77DA8">
              <w:rPr>
                <w:color w:val="000000"/>
              </w:rPr>
              <w:t>Western Melbourne</w:t>
            </w:r>
          </w:p>
        </w:tc>
        <w:tc>
          <w:tcPr>
            <w:tcW w:w="321" w:type="pct"/>
            <w:hideMark/>
          </w:tcPr>
          <w:p w14:paraId="7E1DD980"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5A2E05A6" w14:textId="77777777" w:rsidR="00931F10" w:rsidRPr="00D77DA8" w:rsidRDefault="00931F10" w:rsidP="00C83E0B">
            <w:pPr>
              <w:pStyle w:val="DHHStabletext9pt"/>
              <w:rPr>
                <w:color w:val="000000"/>
              </w:rPr>
            </w:pPr>
            <w:r w:rsidRPr="00D77DA8">
              <w:rPr>
                <w:color w:val="000000"/>
              </w:rPr>
              <w:t>Western Melbourne</w:t>
            </w:r>
          </w:p>
        </w:tc>
        <w:tc>
          <w:tcPr>
            <w:tcW w:w="330" w:type="pct"/>
            <w:hideMark/>
          </w:tcPr>
          <w:p w14:paraId="329B9EC7" w14:textId="77777777" w:rsidR="00931F10" w:rsidRPr="00D77DA8" w:rsidRDefault="00931F10" w:rsidP="00C83E0B">
            <w:pPr>
              <w:pStyle w:val="DHHStabletext9pt"/>
              <w:rPr>
                <w:color w:val="000000"/>
              </w:rPr>
            </w:pPr>
            <w:r w:rsidRPr="005A7108">
              <w:rPr>
                <w:color w:val="000000"/>
              </w:rPr>
              <w:t>cohealth</w:t>
            </w:r>
          </w:p>
        </w:tc>
        <w:tc>
          <w:tcPr>
            <w:tcW w:w="301" w:type="pct"/>
            <w:hideMark/>
          </w:tcPr>
          <w:p w14:paraId="1726FA3C" w14:textId="77777777" w:rsidR="00931F10" w:rsidRPr="00D77DA8" w:rsidRDefault="00931F10" w:rsidP="00C83E0B">
            <w:pPr>
              <w:pStyle w:val="DHHStabletext9pt"/>
              <w:rPr>
                <w:color w:val="000000"/>
              </w:rPr>
            </w:pPr>
            <w:r w:rsidRPr="00D77DA8">
              <w:rPr>
                <w:color w:val="000000"/>
              </w:rPr>
              <w:t>WEPHU</w:t>
            </w:r>
          </w:p>
        </w:tc>
        <w:tc>
          <w:tcPr>
            <w:tcW w:w="410" w:type="pct"/>
            <w:hideMark/>
          </w:tcPr>
          <w:p w14:paraId="4D5A7D47" w14:textId="77777777" w:rsidR="00931F10" w:rsidRPr="00D77DA8" w:rsidRDefault="00931F10" w:rsidP="00C83E0B">
            <w:pPr>
              <w:pStyle w:val="DHHStabletext9pt"/>
              <w:rPr>
                <w:color w:val="000000"/>
              </w:rPr>
            </w:pPr>
            <w:r w:rsidRPr="00D77DA8">
              <w:rPr>
                <w:color w:val="000000"/>
              </w:rPr>
              <w:t>West Metro - Lead - Melbourne Health</w:t>
            </w:r>
          </w:p>
        </w:tc>
        <w:tc>
          <w:tcPr>
            <w:tcW w:w="373" w:type="pct"/>
            <w:hideMark/>
          </w:tcPr>
          <w:p w14:paraId="2384F073" w14:textId="77777777" w:rsidR="00931F10" w:rsidRPr="00D77DA8" w:rsidRDefault="00931F10" w:rsidP="00C83E0B">
            <w:pPr>
              <w:pStyle w:val="DHHStabletext9pt"/>
              <w:rPr>
                <w:color w:val="000000"/>
              </w:rPr>
            </w:pPr>
            <w:r w:rsidRPr="00D77DA8">
              <w:rPr>
                <w:color w:val="000000"/>
              </w:rPr>
              <w:t>Yes</w:t>
            </w:r>
          </w:p>
        </w:tc>
      </w:tr>
      <w:tr w:rsidR="00C83E0B" w:rsidRPr="003A1EF9" w14:paraId="384BDABF" w14:textId="77777777" w:rsidTr="00856F51">
        <w:trPr>
          <w:trHeight w:val="896"/>
        </w:trPr>
        <w:tc>
          <w:tcPr>
            <w:tcW w:w="383" w:type="pct"/>
            <w:hideMark/>
          </w:tcPr>
          <w:p w14:paraId="02596BC0" w14:textId="77777777" w:rsidR="00931F10" w:rsidRPr="00D77DA8" w:rsidRDefault="00931F10" w:rsidP="00C83E0B">
            <w:pPr>
              <w:pStyle w:val="DHHStabletext9pt"/>
            </w:pPr>
            <w:r w:rsidRPr="00D77DA8">
              <w:t>Maroondah City</w:t>
            </w:r>
          </w:p>
        </w:tc>
        <w:tc>
          <w:tcPr>
            <w:tcW w:w="2209" w:type="pct"/>
            <w:hideMark/>
          </w:tcPr>
          <w:p w14:paraId="3B875754" w14:textId="77777777" w:rsidR="00931F10" w:rsidRPr="00D77DA8" w:rsidRDefault="00931F10" w:rsidP="00C83E0B">
            <w:pPr>
              <w:pStyle w:val="DHHStabletext9pt"/>
            </w:pPr>
            <w:r w:rsidRPr="00D77DA8">
              <w:t>Bayswater North, Croydon, Croydon Hills, Croydon North, Croydon South, Heathmont, Kilsyth, Kilsyth South, Park Orchards, Ringwood, Ringwood East, Ringwood North, Vermont, Warranwood, Wonga Park</w:t>
            </w:r>
          </w:p>
        </w:tc>
        <w:tc>
          <w:tcPr>
            <w:tcW w:w="328" w:type="pct"/>
            <w:hideMark/>
          </w:tcPr>
          <w:p w14:paraId="522DFC4C" w14:textId="77777777" w:rsidR="00931F10" w:rsidRPr="00D77DA8" w:rsidRDefault="00931F10" w:rsidP="00C83E0B">
            <w:pPr>
              <w:pStyle w:val="DHHStabletext9pt"/>
              <w:rPr>
                <w:color w:val="000000"/>
              </w:rPr>
            </w:pPr>
            <w:r w:rsidRPr="00D77DA8">
              <w:rPr>
                <w:color w:val="000000"/>
              </w:rPr>
              <w:t>Outer Eastern</w:t>
            </w:r>
          </w:p>
        </w:tc>
        <w:tc>
          <w:tcPr>
            <w:tcW w:w="321" w:type="pct"/>
            <w:hideMark/>
          </w:tcPr>
          <w:p w14:paraId="4934C4BA"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086BFA9A" w14:textId="77777777" w:rsidR="00931F10" w:rsidRPr="00D77DA8" w:rsidRDefault="00931F10" w:rsidP="00C83E0B">
            <w:pPr>
              <w:pStyle w:val="DHHStabletext9pt"/>
              <w:rPr>
                <w:color w:val="000000"/>
              </w:rPr>
            </w:pPr>
            <w:r w:rsidRPr="00D77DA8">
              <w:rPr>
                <w:color w:val="000000"/>
              </w:rPr>
              <w:t>Outer Eastern</w:t>
            </w:r>
          </w:p>
        </w:tc>
        <w:tc>
          <w:tcPr>
            <w:tcW w:w="330" w:type="pct"/>
            <w:hideMark/>
          </w:tcPr>
          <w:p w14:paraId="3179900E" w14:textId="77777777" w:rsidR="00931F10" w:rsidRPr="005A7108" w:rsidRDefault="00931F10" w:rsidP="00C83E0B">
            <w:pPr>
              <w:pStyle w:val="DHHStabletext9pt"/>
              <w:rPr>
                <w:color w:val="000000"/>
              </w:rPr>
            </w:pPr>
            <w:r w:rsidRPr="005A7108">
              <w:rPr>
                <w:color w:val="000000"/>
              </w:rPr>
              <w:t>EACH</w:t>
            </w:r>
          </w:p>
        </w:tc>
        <w:tc>
          <w:tcPr>
            <w:tcW w:w="301" w:type="pct"/>
            <w:hideMark/>
          </w:tcPr>
          <w:p w14:paraId="1F984613" w14:textId="77777777" w:rsidR="00931F10" w:rsidRPr="00D77DA8" w:rsidRDefault="00931F10" w:rsidP="00C83E0B">
            <w:pPr>
              <w:pStyle w:val="DHHStabletext9pt"/>
              <w:rPr>
                <w:color w:val="000000"/>
              </w:rPr>
            </w:pPr>
            <w:r w:rsidRPr="00D77DA8">
              <w:rPr>
                <w:color w:val="000000"/>
              </w:rPr>
              <w:t>NEPHU</w:t>
            </w:r>
          </w:p>
        </w:tc>
        <w:tc>
          <w:tcPr>
            <w:tcW w:w="410" w:type="pct"/>
            <w:hideMark/>
          </w:tcPr>
          <w:p w14:paraId="2FC50A57"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352A715D" w14:textId="77777777" w:rsidR="00931F10" w:rsidRPr="00D77DA8" w:rsidRDefault="00931F10" w:rsidP="00C83E0B">
            <w:pPr>
              <w:pStyle w:val="DHHStabletext9pt"/>
              <w:rPr>
                <w:color w:val="000000"/>
              </w:rPr>
            </w:pPr>
            <w:r w:rsidRPr="00D77DA8">
              <w:rPr>
                <w:color w:val="000000"/>
              </w:rPr>
              <w:t>Yes</w:t>
            </w:r>
          </w:p>
        </w:tc>
      </w:tr>
      <w:tr w:rsidR="00C83E0B" w:rsidRPr="003A1EF9" w14:paraId="2697F1D4" w14:textId="77777777" w:rsidTr="00856F51">
        <w:trPr>
          <w:trHeight w:val="798"/>
        </w:trPr>
        <w:tc>
          <w:tcPr>
            <w:tcW w:w="383" w:type="pct"/>
            <w:shd w:val="clear" w:color="auto" w:fill="auto"/>
            <w:hideMark/>
          </w:tcPr>
          <w:p w14:paraId="5113A2AF" w14:textId="77777777" w:rsidR="00931F10" w:rsidRPr="00D77DA8" w:rsidRDefault="00931F10" w:rsidP="00C83E0B">
            <w:pPr>
              <w:pStyle w:val="DHHStabletext9pt"/>
            </w:pPr>
            <w:r w:rsidRPr="00D77DA8">
              <w:t>Melbourne City</w:t>
            </w:r>
          </w:p>
        </w:tc>
        <w:tc>
          <w:tcPr>
            <w:tcW w:w="2209" w:type="pct"/>
            <w:shd w:val="clear" w:color="auto" w:fill="auto"/>
            <w:hideMark/>
          </w:tcPr>
          <w:p w14:paraId="7954F07B" w14:textId="77777777" w:rsidR="00931F10" w:rsidRPr="00D77DA8" w:rsidRDefault="00931F10" w:rsidP="00C83E0B">
            <w:pPr>
              <w:pStyle w:val="DHHStabletext9pt"/>
              <w:rPr>
                <w:color w:val="000000"/>
              </w:rPr>
            </w:pPr>
            <w:r w:rsidRPr="00D77DA8">
              <w:rPr>
                <w:color w:val="000000"/>
              </w:rPr>
              <w:t>Docklands; Flemington; Kensington; North Melbourne; Parkville; South Wharf; Southbank; West Melbourne</w:t>
            </w:r>
          </w:p>
        </w:tc>
        <w:tc>
          <w:tcPr>
            <w:tcW w:w="328" w:type="pct"/>
            <w:shd w:val="clear" w:color="auto" w:fill="auto"/>
            <w:hideMark/>
          </w:tcPr>
          <w:p w14:paraId="4A9AA7E1" w14:textId="77777777" w:rsidR="00931F10" w:rsidRPr="00D77DA8" w:rsidRDefault="00931F10" w:rsidP="00C83E0B">
            <w:pPr>
              <w:pStyle w:val="DHHStabletext9pt"/>
              <w:rPr>
                <w:color w:val="000000"/>
              </w:rPr>
            </w:pPr>
            <w:r w:rsidRPr="00D77DA8">
              <w:rPr>
                <w:color w:val="000000"/>
              </w:rPr>
              <w:t>Western Melbourne</w:t>
            </w:r>
          </w:p>
        </w:tc>
        <w:tc>
          <w:tcPr>
            <w:tcW w:w="321" w:type="pct"/>
            <w:shd w:val="clear" w:color="auto" w:fill="auto"/>
            <w:hideMark/>
          </w:tcPr>
          <w:p w14:paraId="2A272CB2" w14:textId="77777777" w:rsidR="00931F10" w:rsidRPr="00D77DA8" w:rsidRDefault="00931F10" w:rsidP="00C83E0B">
            <w:pPr>
              <w:pStyle w:val="DHHStabletext9pt"/>
              <w:rPr>
                <w:color w:val="000000"/>
              </w:rPr>
            </w:pPr>
            <w:r w:rsidRPr="00D77DA8">
              <w:rPr>
                <w:color w:val="000000"/>
              </w:rPr>
              <w:t>West</w:t>
            </w:r>
          </w:p>
        </w:tc>
        <w:tc>
          <w:tcPr>
            <w:tcW w:w="345" w:type="pct"/>
            <w:shd w:val="clear" w:color="auto" w:fill="auto"/>
            <w:hideMark/>
          </w:tcPr>
          <w:p w14:paraId="3BEA66DB" w14:textId="77777777" w:rsidR="00931F10" w:rsidRPr="00D77DA8" w:rsidRDefault="00931F10" w:rsidP="00C83E0B">
            <w:pPr>
              <w:pStyle w:val="DHHStabletext9pt"/>
              <w:rPr>
                <w:color w:val="000000"/>
              </w:rPr>
            </w:pPr>
            <w:r w:rsidRPr="00D77DA8">
              <w:rPr>
                <w:color w:val="000000"/>
              </w:rPr>
              <w:t>Melbourne</w:t>
            </w:r>
          </w:p>
        </w:tc>
        <w:tc>
          <w:tcPr>
            <w:tcW w:w="330" w:type="pct"/>
            <w:shd w:val="clear" w:color="auto" w:fill="auto"/>
            <w:hideMark/>
          </w:tcPr>
          <w:p w14:paraId="2A78B042" w14:textId="77777777" w:rsidR="00931F10" w:rsidRPr="00D77DA8" w:rsidRDefault="00931F10" w:rsidP="00C83E0B">
            <w:pPr>
              <w:pStyle w:val="DHHStabletext9pt"/>
              <w:rPr>
                <w:color w:val="000000"/>
              </w:rPr>
            </w:pPr>
            <w:r w:rsidRPr="005A7108">
              <w:rPr>
                <w:color w:val="000000"/>
              </w:rPr>
              <w:t>cohealth</w:t>
            </w:r>
          </w:p>
        </w:tc>
        <w:tc>
          <w:tcPr>
            <w:tcW w:w="301" w:type="pct"/>
            <w:shd w:val="clear" w:color="auto" w:fill="auto"/>
            <w:hideMark/>
          </w:tcPr>
          <w:p w14:paraId="730E9F80" w14:textId="77777777" w:rsidR="00931F10" w:rsidRPr="00D77DA8" w:rsidRDefault="00931F10" w:rsidP="00C83E0B">
            <w:pPr>
              <w:pStyle w:val="DHHStabletext9pt"/>
              <w:rPr>
                <w:color w:val="000000"/>
              </w:rPr>
            </w:pPr>
            <w:r w:rsidRPr="00D77DA8">
              <w:rPr>
                <w:color w:val="000000"/>
              </w:rPr>
              <w:t>WEPHU</w:t>
            </w:r>
          </w:p>
        </w:tc>
        <w:tc>
          <w:tcPr>
            <w:tcW w:w="410" w:type="pct"/>
            <w:shd w:val="clear" w:color="auto" w:fill="auto"/>
            <w:hideMark/>
          </w:tcPr>
          <w:p w14:paraId="1309F54D"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shd w:val="clear" w:color="auto" w:fill="auto"/>
            <w:hideMark/>
          </w:tcPr>
          <w:p w14:paraId="001451EF" w14:textId="77777777" w:rsidR="00931F10" w:rsidRPr="00D77DA8" w:rsidRDefault="00931F10" w:rsidP="00C83E0B">
            <w:pPr>
              <w:pStyle w:val="DHHStabletext9pt"/>
              <w:rPr>
                <w:color w:val="000000"/>
              </w:rPr>
            </w:pPr>
            <w:r w:rsidRPr="00D77DA8">
              <w:rPr>
                <w:color w:val="000000"/>
              </w:rPr>
              <w:t>Yes</w:t>
            </w:r>
          </w:p>
        </w:tc>
      </w:tr>
      <w:tr w:rsidR="00C83E0B" w:rsidRPr="003A1EF9" w14:paraId="202C28AB" w14:textId="77777777" w:rsidTr="00856F51">
        <w:trPr>
          <w:trHeight w:val="641"/>
        </w:trPr>
        <w:tc>
          <w:tcPr>
            <w:tcW w:w="383" w:type="pct"/>
            <w:shd w:val="clear" w:color="auto" w:fill="auto"/>
            <w:hideMark/>
          </w:tcPr>
          <w:p w14:paraId="2E2507BE" w14:textId="77777777" w:rsidR="00931F10" w:rsidRPr="00D77DA8" w:rsidRDefault="00931F10" w:rsidP="00C83E0B">
            <w:pPr>
              <w:pStyle w:val="DHHStabletext9pt"/>
            </w:pPr>
            <w:r w:rsidRPr="00D77DA8">
              <w:t>Melbourne City</w:t>
            </w:r>
          </w:p>
        </w:tc>
        <w:tc>
          <w:tcPr>
            <w:tcW w:w="2209" w:type="pct"/>
            <w:shd w:val="clear" w:color="auto" w:fill="auto"/>
            <w:hideMark/>
          </w:tcPr>
          <w:p w14:paraId="5DA6CE33" w14:textId="77777777" w:rsidR="00931F10" w:rsidRPr="00D77DA8" w:rsidRDefault="00931F10" w:rsidP="00C83E0B">
            <w:pPr>
              <w:pStyle w:val="DHHStabletext9pt"/>
              <w:rPr>
                <w:color w:val="000000"/>
              </w:rPr>
            </w:pPr>
            <w:r w:rsidRPr="00D77DA8">
              <w:rPr>
                <w:color w:val="000000"/>
              </w:rPr>
              <w:t>Carlton; Carlton North; East Melbourne</w:t>
            </w:r>
          </w:p>
        </w:tc>
        <w:tc>
          <w:tcPr>
            <w:tcW w:w="328" w:type="pct"/>
            <w:shd w:val="clear" w:color="auto" w:fill="auto"/>
            <w:hideMark/>
          </w:tcPr>
          <w:p w14:paraId="634173FC" w14:textId="77777777" w:rsidR="00931F10" w:rsidRPr="00D77DA8" w:rsidRDefault="00931F10" w:rsidP="00C83E0B">
            <w:pPr>
              <w:pStyle w:val="DHHStabletext9pt"/>
              <w:rPr>
                <w:color w:val="000000"/>
              </w:rPr>
            </w:pPr>
            <w:r w:rsidRPr="00D77DA8">
              <w:rPr>
                <w:color w:val="000000"/>
              </w:rPr>
              <w:t>Western Melbourne</w:t>
            </w:r>
          </w:p>
        </w:tc>
        <w:tc>
          <w:tcPr>
            <w:tcW w:w="321" w:type="pct"/>
            <w:shd w:val="clear" w:color="auto" w:fill="auto"/>
            <w:hideMark/>
          </w:tcPr>
          <w:p w14:paraId="610B753E" w14:textId="77777777" w:rsidR="00931F10" w:rsidRPr="00D77DA8" w:rsidRDefault="00931F10" w:rsidP="00C83E0B">
            <w:pPr>
              <w:pStyle w:val="DHHStabletext9pt"/>
              <w:rPr>
                <w:color w:val="000000"/>
              </w:rPr>
            </w:pPr>
            <w:r w:rsidRPr="00D77DA8">
              <w:rPr>
                <w:color w:val="000000"/>
              </w:rPr>
              <w:t>West</w:t>
            </w:r>
          </w:p>
        </w:tc>
        <w:tc>
          <w:tcPr>
            <w:tcW w:w="345" w:type="pct"/>
            <w:shd w:val="clear" w:color="auto" w:fill="auto"/>
            <w:hideMark/>
          </w:tcPr>
          <w:p w14:paraId="0F9DBE8B" w14:textId="77777777" w:rsidR="00931F10" w:rsidRPr="00D77DA8" w:rsidRDefault="00931F10" w:rsidP="00C83E0B">
            <w:pPr>
              <w:pStyle w:val="DHHStabletext9pt"/>
              <w:rPr>
                <w:color w:val="000000"/>
              </w:rPr>
            </w:pPr>
            <w:r w:rsidRPr="00D77DA8">
              <w:rPr>
                <w:color w:val="000000"/>
              </w:rPr>
              <w:t>Melbourne</w:t>
            </w:r>
          </w:p>
        </w:tc>
        <w:tc>
          <w:tcPr>
            <w:tcW w:w="330" w:type="pct"/>
            <w:shd w:val="clear" w:color="auto" w:fill="auto"/>
            <w:hideMark/>
          </w:tcPr>
          <w:p w14:paraId="31A38701" w14:textId="77777777" w:rsidR="00931F10" w:rsidRPr="00D77DA8" w:rsidRDefault="00931F10" w:rsidP="00C83E0B">
            <w:pPr>
              <w:pStyle w:val="DHHStabletext9pt"/>
              <w:rPr>
                <w:color w:val="000000"/>
              </w:rPr>
            </w:pPr>
            <w:r w:rsidRPr="005A7108">
              <w:rPr>
                <w:color w:val="000000"/>
              </w:rPr>
              <w:t>cohealth</w:t>
            </w:r>
          </w:p>
        </w:tc>
        <w:tc>
          <w:tcPr>
            <w:tcW w:w="301" w:type="pct"/>
            <w:shd w:val="clear" w:color="auto" w:fill="auto"/>
            <w:hideMark/>
          </w:tcPr>
          <w:p w14:paraId="697F0727" w14:textId="77777777" w:rsidR="00931F10" w:rsidRPr="00D77DA8" w:rsidRDefault="00931F10" w:rsidP="00C83E0B">
            <w:pPr>
              <w:pStyle w:val="DHHStabletext9pt"/>
              <w:rPr>
                <w:color w:val="000000"/>
              </w:rPr>
            </w:pPr>
            <w:r w:rsidRPr="00D77DA8">
              <w:rPr>
                <w:color w:val="000000"/>
              </w:rPr>
              <w:t>NEPHU</w:t>
            </w:r>
          </w:p>
        </w:tc>
        <w:tc>
          <w:tcPr>
            <w:tcW w:w="410" w:type="pct"/>
            <w:shd w:val="clear" w:color="auto" w:fill="auto"/>
            <w:hideMark/>
          </w:tcPr>
          <w:p w14:paraId="4942628C"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shd w:val="clear" w:color="auto" w:fill="auto"/>
            <w:hideMark/>
          </w:tcPr>
          <w:p w14:paraId="12CB669C" w14:textId="77777777" w:rsidR="00931F10" w:rsidRPr="00D77DA8" w:rsidRDefault="00931F10" w:rsidP="00C83E0B">
            <w:pPr>
              <w:pStyle w:val="DHHStabletext9pt"/>
              <w:rPr>
                <w:color w:val="000000"/>
              </w:rPr>
            </w:pPr>
            <w:r w:rsidRPr="00D77DA8">
              <w:rPr>
                <w:color w:val="000000"/>
              </w:rPr>
              <w:t>Yes</w:t>
            </w:r>
          </w:p>
        </w:tc>
      </w:tr>
      <w:tr w:rsidR="00C83E0B" w:rsidRPr="003A1EF9" w14:paraId="46F723C5" w14:textId="77777777" w:rsidTr="00856F51">
        <w:trPr>
          <w:trHeight w:val="600"/>
        </w:trPr>
        <w:tc>
          <w:tcPr>
            <w:tcW w:w="383" w:type="pct"/>
            <w:shd w:val="clear" w:color="auto" w:fill="auto"/>
            <w:hideMark/>
          </w:tcPr>
          <w:p w14:paraId="5920F239" w14:textId="77777777" w:rsidR="00931F10" w:rsidRPr="00D77DA8" w:rsidRDefault="00931F10" w:rsidP="00C83E0B">
            <w:pPr>
              <w:pStyle w:val="DHHStabletext9pt"/>
            </w:pPr>
            <w:r w:rsidRPr="00D77DA8">
              <w:lastRenderedPageBreak/>
              <w:t>Melbourne City</w:t>
            </w:r>
          </w:p>
        </w:tc>
        <w:tc>
          <w:tcPr>
            <w:tcW w:w="2209" w:type="pct"/>
            <w:shd w:val="clear" w:color="auto" w:fill="auto"/>
            <w:hideMark/>
          </w:tcPr>
          <w:p w14:paraId="5FF96732" w14:textId="7CDDFDAC" w:rsidR="00931F10" w:rsidRPr="00D77DA8" w:rsidRDefault="00931F10" w:rsidP="00C83E0B">
            <w:pPr>
              <w:pStyle w:val="DHHStabletext9pt"/>
              <w:rPr>
                <w:color w:val="000000"/>
              </w:rPr>
            </w:pPr>
            <w:r w:rsidRPr="00D77DA8">
              <w:rPr>
                <w:color w:val="000000"/>
              </w:rPr>
              <w:t>Melbourne; Port Melbourne;</w:t>
            </w:r>
            <w:r w:rsidR="00856F51">
              <w:rPr>
                <w:color w:val="000000"/>
              </w:rPr>
              <w:t xml:space="preserve"> </w:t>
            </w:r>
            <w:r w:rsidRPr="00D77DA8">
              <w:rPr>
                <w:color w:val="000000"/>
              </w:rPr>
              <w:t>South Yarra</w:t>
            </w:r>
          </w:p>
        </w:tc>
        <w:tc>
          <w:tcPr>
            <w:tcW w:w="328" w:type="pct"/>
            <w:shd w:val="clear" w:color="auto" w:fill="auto"/>
            <w:hideMark/>
          </w:tcPr>
          <w:p w14:paraId="7DF8D7FB" w14:textId="77777777" w:rsidR="00931F10" w:rsidRPr="00D77DA8" w:rsidRDefault="00931F10" w:rsidP="00C83E0B">
            <w:pPr>
              <w:pStyle w:val="DHHStabletext9pt"/>
              <w:rPr>
                <w:color w:val="000000"/>
              </w:rPr>
            </w:pPr>
            <w:r w:rsidRPr="00D77DA8">
              <w:rPr>
                <w:color w:val="000000"/>
              </w:rPr>
              <w:t>Western Melbourne</w:t>
            </w:r>
          </w:p>
        </w:tc>
        <w:tc>
          <w:tcPr>
            <w:tcW w:w="321" w:type="pct"/>
            <w:shd w:val="clear" w:color="auto" w:fill="auto"/>
            <w:hideMark/>
          </w:tcPr>
          <w:p w14:paraId="4E82AAD3" w14:textId="77777777" w:rsidR="00931F10" w:rsidRPr="00D77DA8" w:rsidRDefault="00931F10" w:rsidP="00C83E0B">
            <w:pPr>
              <w:pStyle w:val="DHHStabletext9pt"/>
              <w:rPr>
                <w:color w:val="000000"/>
              </w:rPr>
            </w:pPr>
            <w:r w:rsidRPr="00D77DA8">
              <w:rPr>
                <w:color w:val="000000"/>
              </w:rPr>
              <w:t>West</w:t>
            </w:r>
          </w:p>
        </w:tc>
        <w:tc>
          <w:tcPr>
            <w:tcW w:w="345" w:type="pct"/>
            <w:shd w:val="clear" w:color="auto" w:fill="auto"/>
            <w:hideMark/>
          </w:tcPr>
          <w:p w14:paraId="05E03733" w14:textId="77777777" w:rsidR="00931F10" w:rsidRPr="00D77DA8" w:rsidRDefault="00931F10" w:rsidP="00C83E0B">
            <w:pPr>
              <w:pStyle w:val="DHHStabletext9pt"/>
              <w:rPr>
                <w:color w:val="000000"/>
              </w:rPr>
            </w:pPr>
            <w:r w:rsidRPr="00D77DA8">
              <w:rPr>
                <w:color w:val="000000"/>
              </w:rPr>
              <w:t>Melbourne</w:t>
            </w:r>
          </w:p>
        </w:tc>
        <w:tc>
          <w:tcPr>
            <w:tcW w:w="330" w:type="pct"/>
            <w:shd w:val="clear" w:color="auto" w:fill="auto"/>
            <w:hideMark/>
          </w:tcPr>
          <w:p w14:paraId="05B24B24" w14:textId="77777777" w:rsidR="00931F10" w:rsidRPr="00D77DA8" w:rsidRDefault="00931F10" w:rsidP="00C83E0B">
            <w:pPr>
              <w:pStyle w:val="DHHStabletext9pt"/>
              <w:rPr>
                <w:color w:val="000000"/>
              </w:rPr>
            </w:pPr>
            <w:r w:rsidRPr="005A7108">
              <w:rPr>
                <w:color w:val="000000"/>
              </w:rPr>
              <w:t>cohealth</w:t>
            </w:r>
          </w:p>
        </w:tc>
        <w:tc>
          <w:tcPr>
            <w:tcW w:w="301" w:type="pct"/>
            <w:shd w:val="clear" w:color="auto" w:fill="auto"/>
            <w:hideMark/>
          </w:tcPr>
          <w:p w14:paraId="23F94C9E" w14:textId="77777777" w:rsidR="00931F10" w:rsidRPr="00D77DA8" w:rsidRDefault="00931F10" w:rsidP="00C83E0B">
            <w:pPr>
              <w:pStyle w:val="DHHStabletext9pt"/>
              <w:rPr>
                <w:color w:val="000000"/>
              </w:rPr>
            </w:pPr>
            <w:r w:rsidRPr="00D77DA8">
              <w:rPr>
                <w:color w:val="000000"/>
              </w:rPr>
              <w:t>SEPHU</w:t>
            </w:r>
          </w:p>
        </w:tc>
        <w:tc>
          <w:tcPr>
            <w:tcW w:w="410" w:type="pct"/>
            <w:shd w:val="clear" w:color="auto" w:fill="auto"/>
            <w:hideMark/>
          </w:tcPr>
          <w:p w14:paraId="2DFD0724"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shd w:val="clear" w:color="auto" w:fill="auto"/>
            <w:hideMark/>
          </w:tcPr>
          <w:p w14:paraId="5F07BD54" w14:textId="77777777" w:rsidR="00931F10" w:rsidRPr="00D77DA8" w:rsidRDefault="00931F10" w:rsidP="00C83E0B">
            <w:pPr>
              <w:pStyle w:val="DHHStabletext9pt"/>
              <w:rPr>
                <w:color w:val="000000"/>
              </w:rPr>
            </w:pPr>
          </w:p>
        </w:tc>
      </w:tr>
      <w:tr w:rsidR="00C83E0B" w:rsidRPr="003A1EF9" w14:paraId="6F9B1D40" w14:textId="77777777" w:rsidTr="00856F51">
        <w:trPr>
          <w:trHeight w:val="760"/>
        </w:trPr>
        <w:tc>
          <w:tcPr>
            <w:tcW w:w="383" w:type="pct"/>
            <w:hideMark/>
          </w:tcPr>
          <w:p w14:paraId="122417C2" w14:textId="77777777" w:rsidR="00931F10" w:rsidRPr="00D77DA8" w:rsidRDefault="00931F10" w:rsidP="00C83E0B">
            <w:pPr>
              <w:pStyle w:val="DHHStabletext9pt"/>
            </w:pPr>
            <w:r w:rsidRPr="00D77DA8">
              <w:t>Melton City</w:t>
            </w:r>
          </w:p>
        </w:tc>
        <w:tc>
          <w:tcPr>
            <w:tcW w:w="2209" w:type="pct"/>
            <w:hideMark/>
          </w:tcPr>
          <w:p w14:paraId="0DB02321" w14:textId="77777777" w:rsidR="00931F10" w:rsidRPr="00D77DA8" w:rsidRDefault="00931F10" w:rsidP="00C83E0B">
            <w:pPr>
              <w:pStyle w:val="DHHStabletext9pt"/>
              <w:rPr>
                <w:color w:val="000000"/>
              </w:rPr>
            </w:pPr>
            <w:r w:rsidRPr="00D77DA8">
              <w:rPr>
                <w:color w:val="000000"/>
              </w:rPr>
              <w:t>Brookfield; Burnside; Burnside Heights; Caroline Springs; Diggers Rest; Exford; Eynesbury; Hillside (Melton); Kurunjang; Melton; Melton South; Melton West; Mount Cottrell; Parwan; Plumpton; Ravenhall; Rockbank; Taylors Hill; Toolern Vale; Truganina</w:t>
            </w:r>
          </w:p>
        </w:tc>
        <w:tc>
          <w:tcPr>
            <w:tcW w:w="328" w:type="pct"/>
            <w:hideMark/>
          </w:tcPr>
          <w:p w14:paraId="39405E90" w14:textId="77777777" w:rsidR="00931F10" w:rsidRPr="00D77DA8" w:rsidRDefault="00931F10" w:rsidP="00C83E0B">
            <w:pPr>
              <w:pStyle w:val="DHHStabletext9pt"/>
              <w:rPr>
                <w:color w:val="000000"/>
              </w:rPr>
            </w:pPr>
            <w:r w:rsidRPr="00D77DA8">
              <w:rPr>
                <w:color w:val="000000"/>
              </w:rPr>
              <w:t>Brimbank Melton</w:t>
            </w:r>
          </w:p>
        </w:tc>
        <w:tc>
          <w:tcPr>
            <w:tcW w:w="321" w:type="pct"/>
            <w:hideMark/>
          </w:tcPr>
          <w:p w14:paraId="75788F47"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2D1D963F" w14:textId="77777777" w:rsidR="00931F10" w:rsidRPr="00D77DA8" w:rsidRDefault="00931F10" w:rsidP="00C83E0B">
            <w:pPr>
              <w:pStyle w:val="DHHStabletext9pt"/>
              <w:rPr>
                <w:color w:val="000000"/>
              </w:rPr>
            </w:pPr>
            <w:r w:rsidRPr="00D77DA8">
              <w:rPr>
                <w:color w:val="000000"/>
              </w:rPr>
              <w:t>Brimbank Melton</w:t>
            </w:r>
          </w:p>
        </w:tc>
        <w:tc>
          <w:tcPr>
            <w:tcW w:w="330" w:type="pct"/>
            <w:hideMark/>
          </w:tcPr>
          <w:p w14:paraId="6319C7AD" w14:textId="77777777" w:rsidR="00931F10" w:rsidRPr="00D77DA8" w:rsidRDefault="00931F10" w:rsidP="00C83E0B">
            <w:pPr>
              <w:pStyle w:val="DHHStabletext9pt"/>
              <w:rPr>
                <w:color w:val="000000"/>
              </w:rPr>
            </w:pPr>
            <w:r w:rsidRPr="004B3C7A">
              <w:rPr>
                <w:color w:val="000000"/>
              </w:rPr>
              <w:t>IPC Health</w:t>
            </w:r>
          </w:p>
        </w:tc>
        <w:tc>
          <w:tcPr>
            <w:tcW w:w="301" w:type="pct"/>
            <w:hideMark/>
          </w:tcPr>
          <w:p w14:paraId="6F0E1B0D" w14:textId="77777777" w:rsidR="00931F10" w:rsidRPr="00D77DA8" w:rsidRDefault="00931F10" w:rsidP="00C83E0B">
            <w:pPr>
              <w:pStyle w:val="DHHStabletext9pt"/>
              <w:rPr>
                <w:color w:val="000000"/>
              </w:rPr>
            </w:pPr>
            <w:r w:rsidRPr="00D77DA8">
              <w:rPr>
                <w:color w:val="000000"/>
              </w:rPr>
              <w:t>WEPHU</w:t>
            </w:r>
          </w:p>
        </w:tc>
        <w:tc>
          <w:tcPr>
            <w:tcW w:w="410" w:type="pct"/>
            <w:hideMark/>
          </w:tcPr>
          <w:p w14:paraId="0B30AE72" w14:textId="77777777" w:rsidR="00931F10" w:rsidRPr="00D77DA8" w:rsidRDefault="00931F10" w:rsidP="00C83E0B">
            <w:pPr>
              <w:pStyle w:val="DHHStabletext9pt"/>
              <w:rPr>
                <w:color w:val="000000"/>
              </w:rPr>
            </w:pPr>
            <w:r w:rsidRPr="00D77DA8">
              <w:rPr>
                <w:color w:val="000000"/>
              </w:rPr>
              <w:t>West Metro - Lead - Melbourne Health</w:t>
            </w:r>
          </w:p>
        </w:tc>
        <w:tc>
          <w:tcPr>
            <w:tcW w:w="373" w:type="pct"/>
            <w:hideMark/>
          </w:tcPr>
          <w:p w14:paraId="65A11478" w14:textId="77777777" w:rsidR="00931F10" w:rsidRPr="00D77DA8" w:rsidRDefault="00931F10" w:rsidP="00C83E0B">
            <w:pPr>
              <w:pStyle w:val="DHHStabletext9pt"/>
              <w:rPr>
                <w:color w:val="000000"/>
              </w:rPr>
            </w:pPr>
            <w:r w:rsidRPr="00D77DA8">
              <w:rPr>
                <w:color w:val="000000"/>
              </w:rPr>
              <w:t>Yes</w:t>
            </w:r>
          </w:p>
        </w:tc>
      </w:tr>
      <w:tr w:rsidR="00C83E0B" w:rsidRPr="003A1EF9" w14:paraId="29C6FDC2" w14:textId="77777777" w:rsidTr="00856F51">
        <w:trPr>
          <w:trHeight w:val="1211"/>
        </w:trPr>
        <w:tc>
          <w:tcPr>
            <w:tcW w:w="383" w:type="pct"/>
            <w:hideMark/>
          </w:tcPr>
          <w:p w14:paraId="2CBE2267" w14:textId="77777777" w:rsidR="00931F10" w:rsidRPr="00D77DA8" w:rsidRDefault="00931F10" w:rsidP="00C83E0B">
            <w:pPr>
              <w:pStyle w:val="DHHStabletext9pt"/>
            </w:pPr>
            <w:r w:rsidRPr="00D77DA8">
              <w:t>Mildura Rural City</w:t>
            </w:r>
          </w:p>
        </w:tc>
        <w:tc>
          <w:tcPr>
            <w:tcW w:w="2209" w:type="pct"/>
            <w:hideMark/>
          </w:tcPr>
          <w:p w14:paraId="153A9087" w14:textId="77777777" w:rsidR="00931F10" w:rsidRPr="00D77DA8" w:rsidRDefault="00931F10" w:rsidP="00C83E0B">
            <w:pPr>
              <w:pStyle w:val="DHHStabletext9pt"/>
              <w:rPr>
                <w:color w:val="000000"/>
              </w:rPr>
            </w:pPr>
            <w:r w:rsidRPr="00D77DA8">
              <w:rPr>
                <w:color w:val="000000"/>
              </w:rPr>
              <w:t>Big Desert; Birdwoodton; Boinka; Cabarita; Cardross; Carina; Carwarp; Colignan; Cowangie; Cullulleraine; Hattah; Iraak; Irymple; Koorlong; Kulwin; Lindsay Point; Linga; Merbein; Merbein South; Merbein West; Meringur; Merrinee; Mildura; Mittyack; Murray-Sunset; Murrayville; Nangiloc; Neds Corner; Nichols Point; Ouyen; Panitya; Patchewollock; Red Cliffs; Tempy; Torrita; Tutye; Underbool; Walpeup; Wargan; Werrimull; Yelta;</w:t>
            </w:r>
          </w:p>
        </w:tc>
        <w:tc>
          <w:tcPr>
            <w:tcW w:w="328" w:type="pct"/>
            <w:hideMark/>
          </w:tcPr>
          <w:p w14:paraId="02C74CFC" w14:textId="77777777" w:rsidR="00931F10" w:rsidRPr="00D77DA8" w:rsidRDefault="00931F10" w:rsidP="00C83E0B">
            <w:pPr>
              <w:pStyle w:val="DHHStabletext9pt"/>
              <w:rPr>
                <w:color w:val="000000"/>
              </w:rPr>
            </w:pPr>
            <w:r w:rsidRPr="00D77DA8">
              <w:rPr>
                <w:color w:val="000000"/>
              </w:rPr>
              <w:t>Mallee</w:t>
            </w:r>
          </w:p>
        </w:tc>
        <w:tc>
          <w:tcPr>
            <w:tcW w:w="321" w:type="pct"/>
            <w:hideMark/>
          </w:tcPr>
          <w:p w14:paraId="32E10D08"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7EBDA932" w14:textId="77777777" w:rsidR="00931F10" w:rsidRPr="00D77DA8" w:rsidRDefault="00931F10" w:rsidP="00C83E0B">
            <w:pPr>
              <w:pStyle w:val="DHHStabletext9pt"/>
              <w:rPr>
                <w:color w:val="000000"/>
              </w:rPr>
            </w:pPr>
            <w:r w:rsidRPr="00D77DA8">
              <w:rPr>
                <w:color w:val="000000"/>
              </w:rPr>
              <w:t>Northern Mallee</w:t>
            </w:r>
          </w:p>
        </w:tc>
        <w:tc>
          <w:tcPr>
            <w:tcW w:w="330" w:type="pct"/>
            <w:hideMark/>
          </w:tcPr>
          <w:p w14:paraId="4D10EA56" w14:textId="77777777" w:rsidR="00931F10" w:rsidRPr="00D77DA8" w:rsidRDefault="00931F10" w:rsidP="00C83E0B">
            <w:pPr>
              <w:pStyle w:val="DHHStabletext9pt"/>
              <w:rPr>
                <w:color w:val="000000"/>
              </w:rPr>
            </w:pPr>
            <w:r w:rsidRPr="004B3C7A">
              <w:rPr>
                <w:color w:val="000000"/>
              </w:rPr>
              <w:t>Sunraysia Community Health</w:t>
            </w:r>
          </w:p>
        </w:tc>
        <w:tc>
          <w:tcPr>
            <w:tcW w:w="301" w:type="pct"/>
            <w:hideMark/>
          </w:tcPr>
          <w:p w14:paraId="1CFAB2CC"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58A9EF82" w14:textId="77777777" w:rsidR="00931F10" w:rsidRPr="00D77DA8" w:rsidRDefault="00931F10" w:rsidP="00C83E0B">
            <w:pPr>
              <w:pStyle w:val="DHHStabletext9pt"/>
              <w:rPr>
                <w:color w:val="000000"/>
              </w:rPr>
            </w:pPr>
            <w:r w:rsidRPr="00D77DA8">
              <w:rPr>
                <w:color w:val="000000"/>
              </w:rPr>
              <w:t>Loddon Mallee - Bendigo Health</w:t>
            </w:r>
          </w:p>
        </w:tc>
        <w:tc>
          <w:tcPr>
            <w:tcW w:w="373" w:type="pct"/>
            <w:hideMark/>
          </w:tcPr>
          <w:p w14:paraId="0A563F4C" w14:textId="77777777" w:rsidR="00931F10" w:rsidRPr="00D77DA8" w:rsidRDefault="00931F10" w:rsidP="00C83E0B">
            <w:pPr>
              <w:pStyle w:val="DHHStabletext9pt"/>
              <w:rPr>
                <w:color w:val="000000"/>
              </w:rPr>
            </w:pPr>
            <w:r w:rsidRPr="00D77DA8">
              <w:rPr>
                <w:color w:val="000000"/>
              </w:rPr>
              <w:t>Yes</w:t>
            </w:r>
          </w:p>
        </w:tc>
      </w:tr>
      <w:tr w:rsidR="00C83E0B" w:rsidRPr="003A1EF9" w14:paraId="79B4744F" w14:textId="77777777" w:rsidTr="00856F51">
        <w:trPr>
          <w:trHeight w:val="1211"/>
        </w:trPr>
        <w:tc>
          <w:tcPr>
            <w:tcW w:w="383" w:type="pct"/>
            <w:hideMark/>
          </w:tcPr>
          <w:p w14:paraId="5201C954" w14:textId="77777777" w:rsidR="00931F10" w:rsidRPr="00D77DA8" w:rsidRDefault="00931F10" w:rsidP="00C83E0B">
            <w:pPr>
              <w:pStyle w:val="DHHStabletext9pt"/>
            </w:pPr>
            <w:r w:rsidRPr="00D77DA8">
              <w:t>Mitchell Shire</w:t>
            </w:r>
          </w:p>
        </w:tc>
        <w:tc>
          <w:tcPr>
            <w:tcW w:w="2209" w:type="pct"/>
            <w:hideMark/>
          </w:tcPr>
          <w:p w14:paraId="29956ACB" w14:textId="77777777" w:rsidR="00931F10" w:rsidRPr="00D77DA8" w:rsidRDefault="00931F10" w:rsidP="00C83E0B">
            <w:pPr>
              <w:pStyle w:val="DHHStabletext9pt"/>
            </w:pPr>
            <w:r w:rsidRPr="00D77DA8">
              <w:t>Avenel, Beveridge, Broadford, Bylands, Clonbinane, Dysart, Emu Flat, Flowerdale, Forbes, Glenaroua, Glenhope, Glenhope East, Heathcote Junction, Heathcote South, High Camp, Highlands, Hilldene, Kilmore, Kilmore East, Kobyboyn, Mangalore, Mia Mia, Moranding, Northwood, Nulla Vale, Puckapunyal, Pyalong, Reedy Creek, Seymour, Sugarloaf Creek, Sunday Creek, Tallarook, Tarcombe, Tooborac, Trawool, Tyaak, Upper Plenty, Wallan, Wandong, Waterford Park, Whiteheads Creek, Willowmavin</w:t>
            </w:r>
          </w:p>
        </w:tc>
        <w:tc>
          <w:tcPr>
            <w:tcW w:w="328" w:type="pct"/>
            <w:hideMark/>
          </w:tcPr>
          <w:p w14:paraId="642EA7F7" w14:textId="77777777" w:rsidR="00931F10" w:rsidRPr="00D77DA8" w:rsidRDefault="00931F10" w:rsidP="00C83E0B">
            <w:pPr>
              <w:pStyle w:val="DHHStabletext9pt"/>
              <w:rPr>
                <w:color w:val="000000"/>
              </w:rPr>
            </w:pPr>
            <w:r w:rsidRPr="00D77DA8">
              <w:rPr>
                <w:color w:val="000000"/>
              </w:rPr>
              <w:t xml:space="preserve">Goulburn </w:t>
            </w:r>
          </w:p>
        </w:tc>
        <w:tc>
          <w:tcPr>
            <w:tcW w:w="321" w:type="pct"/>
            <w:hideMark/>
          </w:tcPr>
          <w:p w14:paraId="6CEE8DBD"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16C071CA" w14:textId="77777777" w:rsidR="00931F10" w:rsidRPr="00D77DA8" w:rsidRDefault="00931F10" w:rsidP="00C83E0B">
            <w:pPr>
              <w:pStyle w:val="DHHStabletext9pt"/>
              <w:rPr>
                <w:color w:val="000000"/>
              </w:rPr>
            </w:pPr>
            <w:r w:rsidRPr="00D77DA8">
              <w:rPr>
                <w:color w:val="000000"/>
              </w:rPr>
              <w:t xml:space="preserve">Goulburn </w:t>
            </w:r>
          </w:p>
        </w:tc>
        <w:tc>
          <w:tcPr>
            <w:tcW w:w="330" w:type="pct"/>
            <w:hideMark/>
          </w:tcPr>
          <w:p w14:paraId="6FDA1C09" w14:textId="77777777" w:rsidR="00931F10" w:rsidRPr="00D77DA8" w:rsidRDefault="00931F10" w:rsidP="00C83E0B">
            <w:pPr>
              <w:pStyle w:val="DHHStabletext9pt"/>
              <w:rPr>
                <w:color w:val="000000"/>
              </w:rPr>
            </w:pPr>
            <w:r w:rsidRPr="004E7168">
              <w:rPr>
                <w:color w:val="000000"/>
              </w:rPr>
              <w:t>Primary Care Connect</w:t>
            </w:r>
          </w:p>
        </w:tc>
        <w:tc>
          <w:tcPr>
            <w:tcW w:w="301" w:type="pct"/>
            <w:hideMark/>
          </w:tcPr>
          <w:p w14:paraId="1D727451" w14:textId="77777777" w:rsidR="00931F10" w:rsidRPr="00D77DA8" w:rsidRDefault="00931F10" w:rsidP="00C83E0B">
            <w:pPr>
              <w:pStyle w:val="DHHStabletext9pt"/>
              <w:rPr>
                <w:color w:val="000000"/>
              </w:rPr>
            </w:pPr>
            <w:r w:rsidRPr="00D77DA8">
              <w:rPr>
                <w:color w:val="000000"/>
              </w:rPr>
              <w:t>Goulburn Health</w:t>
            </w:r>
          </w:p>
        </w:tc>
        <w:tc>
          <w:tcPr>
            <w:tcW w:w="410" w:type="pct"/>
            <w:hideMark/>
          </w:tcPr>
          <w:p w14:paraId="4AE50265"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4E99B4A8" w14:textId="77777777" w:rsidR="00931F10" w:rsidRPr="00D77DA8" w:rsidRDefault="00931F10" w:rsidP="00C83E0B">
            <w:pPr>
              <w:pStyle w:val="DHHStabletext9pt"/>
              <w:rPr>
                <w:color w:val="000000"/>
              </w:rPr>
            </w:pPr>
            <w:r w:rsidRPr="00D77DA8">
              <w:rPr>
                <w:color w:val="000000"/>
              </w:rPr>
              <w:t>Yes</w:t>
            </w:r>
          </w:p>
        </w:tc>
      </w:tr>
      <w:tr w:rsidR="00C83E0B" w:rsidRPr="003A1EF9" w14:paraId="2B386C97" w14:textId="77777777" w:rsidTr="00856F51">
        <w:trPr>
          <w:trHeight w:val="1476"/>
        </w:trPr>
        <w:tc>
          <w:tcPr>
            <w:tcW w:w="383" w:type="pct"/>
            <w:hideMark/>
          </w:tcPr>
          <w:p w14:paraId="1ADEEE64" w14:textId="77777777" w:rsidR="00931F10" w:rsidRPr="00D77DA8" w:rsidRDefault="00931F10" w:rsidP="00C83E0B">
            <w:pPr>
              <w:pStyle w:val="DHHStabletext9pt"/>
            </w:pPr>
            <w:r w:rsidRPr="00D77DA8">
              <w:t>Moira Shire</w:t>
            </w:r>
          </w:p>
        </w:tc>
        <w:tc>
          <w:tcPr>
            <w:tcW w:w="2209" w:type="pct"/>
            <w:hideMark/>
          </w:tcPr>
          <w:p w14:paraId="756C372F" w14:textId="77777777" w:rsidR="00931F10" w:rsidRPr="00D77DA8" w:rsidRDefault="00931F10" w:rsidP="00C83E0B">
            <w:pPr>
              <w:pStyle w:val="DHHStabletext9pt"/>
            </w:pPr>
            <w:r w:rsidRPr="00D77DA8">
              <w:t>Almonds, Barmah, Bathumi, Bearii, Boomahnoomoonah, Boosey, Boweya North, Bundalong, Bundalong South, Burramine, Burramine South, Cobram, Cobram East, Drumanure, Esmond, Invergordon, Kaarimba, Katamatite, Katamatite East, Katunga, Koonoomoo, Kotupna, Lake Rowan, Lower Moira, Marungi, Muckatah, Mundoona, Mywee, Naring, Nathalia, Numurkah, Peechelba, Pelluebla, Picola, Picola West, St James, Strathmerton, Telford, Tungamah, Ulupna, Waaia, Waggarandall, Wilby, Wunghnu, Yabba North, Yabba South, Yalca, Yarrawonga, Yarroweyah, Yielima, Youanmite, Youarang, Yundool.</w:t>
            </w:r>
          </w:p>
        </w:tc>
        <w:tc>
          <w:tcPr>
            <w:tcW w:w="328" w:type="pct"/>
            <w:hideMark/>
          </w:tcPr>
          <w:p w14:paraId="538E0381" w14:textId="77777777" w:rsidR="00931F10" w:rsidRPr="00D77DA8" w:rsidRDefault="00931F10" w:rsidP="00C83E0B">
            <w:pPr>
              <w:pStyle w:val="DHHStabletext9pt"/>
              <w:rPr>
                <w:color w:val="000000"/>
              </w:rPr>
            </w:pPr>
            <w:r w:rsidRPr="00D77DA8">
              <w:rPr>
                <w:color w:val="000000"/>
              </w:rPr>
              <w:t xml:space="preserve">Goulburn </w:t>
            </w:r>
          </w:p>
        </w:tc>
        <w:tc>
          <w:tcPr>
            <w:tcW w:w="321" w:type="pct"/>
            <w:hideMark/>
          </w:tcPr>
          <w:p w14:paraId="0A294867"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6CCB5768" w14:textId="77777777" w:rsidR="00931F10" w:rsidRPr="00D77DA8" w:rsidRDefault="00931F10" w:rsidP="00C83E0B">
            <w:pPr>
              <w:pStyle w:val="DHHStabletext9pt"/>
              <w:rPr>
                <w:color w:val="000000"/>
              </w:rPr>
            </w:pPr>
            <w:r w:rsidRPr="00D77DA8">
              <w:rPr>
                <w:color w:val="000000"/>
              </w:rPr>
              <w:t xml:space="preserve">Goulburn </w:t>
            </w:r>
          </w:p>
        </w:tc>
        <w:tc>
          <w:tcPr>
            <w:tcW w:w="330" w:type="pct"/>
            <w:hideMark/>
          </w:tcPr>
          <w:p w14:paraId="4FE50F44" w14:textId="77777777" w:rsidR="00931F10" w:rsidRPr="00D77DA8" w:rsidRDefault="00931F10" w:rsidP="00C83E0B">
            <w:pPr>
              <w:pStyle w:val="DHHStabletext9pt"/>
              <w:rPr>
                <w:color w:val="000000"/>
              </w:rPr>
            </w:pPr>
            <w:r w:rsidRPr="00C46AED">
              <w:rPr>
                <w:color w:val="000000"/>
              </w:rPr>
              <w:t>Primary Care Connect</w:t>
            </w:r>
          </w:p>
        </w:tc>
        <w:tc>
          <w:tcPr>
            <w:tcW w:w="301" w:type="pct"/>
            <w:hideMark/>
          </w:tcPr>
          <w:p w14:paraId="21877F7E" w14:textId="77777777" w:rsidR="00931F10" w:rsidRPr="00D77DA8" w:rsidRDefault="00931F10" w:rsidP="00C83E0B">
            <w:pPr>
              <w:pStyle w:val="DHHStabletext9pt"/>
              <w:rPr>
                <w:color w:val="000000"/>
              </w:rPr>
            </w:pPr>
            <w:r w:rsidRPr="00D77DA8">
              <w:rPr>
                <w:color w:val="000000"/>
              </w:rPr>
              <w:t xml:space="preserve">Goulburn Health??? Northeast Health </w:t>
            </w:r>
          </w:p>
        </w:tc>
        <w:tc>
          <w:tcPr>
            <w:tcW w:w="410" w:type="pct"/>
            <w:hideMark/>
          </w:tcPr>
          <w:p w14:paraId="6632CBCE"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45C17F2B" w14:textId="77777777" w:rsidR="00931F10" w:rsidRPr="00D77DA8" w:rsidRDefault="00931F10" w:rsidP="00C83E0B">
            <w:pPr>
              <w:pStyle w:val="DHHStabletext9pt"/>
              <w:rPr>
                <w:color w:val="000000"/>
              </w:rPr>
            </w:pPr>
            <w:r w:rsidRPr="00D77DA8">
              <w:rPr>
                <w:color w:val="000000"/>
              </w:rPr>
              <w:t>Yes</w:t>
            </w:r>
          </w:p>
        </w:tc>
      </w:tr>
      <w:tr w:rsidR="00C83E0B" w:rsidRPr="003A1EF9" w14:paraId="43AEEA15" w14:textId="77777777" w:rsidTr="00856F51">
        <w:trPr>
          <w:trHeight w:val="519"/>
        </w:trPr>
        <w:tc>
          <w:tcPr>
            <w:tcW w:w="383" w:type="pct"/>
            <w:hideMark/>
          </w:tcPr>
          <w:p w14:paraId="2EAA99C6" w14:textId="77777777" w:rsidR="00931F10" w:rsidRPr="00D77DA8" w:rsidRDefault="00931F10" w:rsidP="00C83E0B">
            <w:pPr>
              <w:pStyle w:val="DHHStabletext9pt"/>
            </w:pPr>
            <w:r w:rsidRPr="00D77DA8">
              <w:t>Monash City</w:t>
            </w:r>
          </w:p>
        </w:tc>
        <w:tc>
          <w:tcPr>
            <w:tcW w:w="2209" w:type="pct"/>
            <w:hideMark/>
          </w:tcPr>
          <w:p w14:paraId="61DA0E41" w14:textId="77777777" w:rsidR="00931F10" w:rsidRPr="00D77DA8" w:rsidRDefault="00931F10" w:rsidP="00C83E0B">
            <w:pPr>
              <w:pStyle w:val="DHHStabletext9pt"/>
            </w:pPr>
            <w:r w:rsidRPr="00D77DA8">
              <w:t>Ashwood, Burwood, Huntingdale, Notting Hill, Oakleigh, Oakleigh East, Oakleigh South, Pinewood, Syndal And Wheelers Hill</w:t>
            </w:r>
          </w:p>
        </w:tc>
        <w:tc>
          <w:tcPr>
            <w:tcW w:w="328" w:type="pct"/>
            <w:hideMark/>
          </w:tcPr>
          <w:p w14:paraId="0561BED7" w14:textId="77777777" w:rsidR="00931F10" w:rsidRPr="00D77DA8" w:rsidRDefault="00931F10" w:rsidP="00C83E0B">
            <w:pPr>
              <w:pStyle w:val="DHHStabletext9pt"/>
              <w:rPr>
                <w:color w:val="000000"/>
              </w:rPr>
            </w:pPr>
            <w:r w:rsidRPr="00D77DA8">
              <w:rPr>
                <w:color w:val="000000"/>
              </w:rPr>
              <w:t>Inner Eastern</w:t>
            </w:r>
          </w:p>
        </w:tc>
        <w:tc>
          <w:tcPr>
            <w:tcW w:w="321" w:type="pct"/>
            <w:hideMark/>
          </w:tcPr>
          <w:p w14:paraId="11E2EED0"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49F05796" w14:textId="77777777" w:rsidR="00931F10" w:rsidRPr="00D77DA8" w:rsidRDefault="00931F10" w:rsidP="00C83E0B">
            <w:pPr>
              <w:pStyle w:val="DHHStabletext9pt"/>
              <w:rPr>
                <w:color w:val="000000"/>
              </w:rPr>
            </w:pPr>
            <w:r w:rsidRPr="00D77DA8">
              <w:rPr>
                <w:color w:val="000000"/>
              </w:rPr>
              <w:t>Monash</w:t>
            </w:r>
          </w:p>
        </w:tc>
        <w:tc>
          <w:tcPr>
            <w:tcW w:w="330" w:type="pct"/>
            <w:hideMark/>
          </w:tcPr>
          <w:p w14:paraId="245CEDE9" w14:textId="77777777" w:rsidR="00931F10" w:rsidRPr="00D77DA8" w:rsidRDefault="00931F10" w:rsidP="00C83E0B">
            <w:pPr>
              <w:pStyle w:val="DHHStabletext9pt"/>
              <w:rPr>
                <w:color w:val="000000"/>
              </w:rPr>
            </w:pPr>
            <w:r w:rsidRPr="00E46E30">
              <w:rPr>
                <w:color w:val="000000"/>
              </w:rPr>
              <w:t>La Trobe Community Health Service</w:t>
            </w:r>
          </w:p>
        </w:tc>
        <w:tc>
          <w:tcPr>
            <w:tcW w:w="301" w:type="pct"/>
            <w:hideMark/>
          </w:tcPr>
          <w:p w14:paraId="1C1FC403" w14:textId="77777777" w:rsidR="00931F10" w:rsidRPr="00D77DA8" w:rsidRDefault="00931F10" w:rsidP="00C83E0B">
            <w:pPr>
              <w:pStyle w:val="DHHStabletext9pt"/>
              <w:rPr>
                <w:color w:val="000000"/>
              </w:rPr>
            </w:pPr>
            <w:r w:rsidRPr="00D77DA8">
              <w:rPr>
                <w:color w:val="000000"/>
              </w:rPr>
              <w:t>NEPHU</w:t>
            </w:r>
          </w:p>
        </w:tc>
        <w:tc>
          <w:tcPr>
            <w:tcW w:w="410" w:type="pct"/>
            <w:hideMark/>
          </w:tcPr>
          <w:p w14:paraId="09AF5BB1"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275D5C69" w14:textId="77777777" w:rsidR="00931F10" w:rsidRPr="00D77DA8" w:rsidRDefault="00931F10" w:rsidP="00C83E0B">
            <w:pPr>
              <w:pStyle w:val="DHHStabletext9pt"/>
              <w:rPr>
                <w:color w:val="000000"/>
              </w:rPr>
            </w:pPr>
            <w:r w:rsidRPr="00D77DA8">
              <w:rPr>
                <w:color w:val="000000"/>
              </w:rPr>
              <w:t>Yes</w:t>
            </w:r>
          </w:p>
        </w:tc>
      </w:tr>
      <w:tr w:rsidR="00C83E0B" w:rsidRPr="003A1EF9" w14:paraId="2537D021" w14:textId="77777777" w:rsidTr="00856F51">
        <w:trPr>
          <w:trHeight w:val="828"/>
        </w:trPr>
        <w:tc>
          <w:tcPr>
            <w:tcW w:w="383" w:type="pct"/>
            <w:hideMark/>
          </w:tcPr>
          <w:p w14:paraId="2856FB7A" w14:textId="77777777" w:rsidR="00931F10" w:rsidRPr="00D77DA8" w:rsidRDefault="00931F10" w:rsidP="00C83E0B">
            <w:pPr>
              <w:pStyle w:val="DHHStabletext9pt"/>
            </w:pPr>
            <w:r w:rsidRPr="00D77DA8">
              <w:lastRenderedPageBreak/>
              <w:t>Monash City</w:t>
            </w:r>
          </w:p>
        </w:tc>
        <w:tc>
          <w:tcPr>
            <w:tcW w:w="2209" w:type="pct"/>
            <w:hideMark/>
          </w:tcPr>
          <w:p w14:paraId="2BFA349D" w14:textId="77777777" w:rsidR="00931F10" w:rsidRPr="00D77DA8" w:rsidRDefault="00931F10" w:rsidP="00C83E0B">
            <w:pPr>
              <w:pStyle w:val="DHHStabletext9pt"/>
            </w:pPr>
            <w:r w:rsidRPr="00D77DA8">
              <w:t>Chadstone, Clayton, Glen Waverely, Hughesdale, Mount Waverley, Mulgrave</w:t>
            </w:r>
          </w:p>
        </w:tc>
        <w:tc>
          <w:tcPr>
            <w:tcW w:w="328" w:type="pct"/>
            <w:hideMark/>
          </w:tcPr>
          <w:p w14:paraId="38C134D7" w14:textId="77777777" w:rsidR="00931F10" w:rsidRPr="00D77DA8" w:rsidRDefault="00931F10" w:rsidP="00C83E0B">
            <w:pPr>
              <w:pStyle w:val="DHHStabletext9pt"/>
              <w:rPr>
                <w:color w:val="000000"/>
              </w:rPr>
            </w:pPr>
            <w:r w:rsidRPr="00D77DA8">
              <w:rPr>
                <w:color w:val="000000"/>
              </w:rPr>
              <w:t>Inner Eastern</w:t>
            </w:r>
          </w:p>
        </w:tc>
        <w:tc>
          <w:tcPr>
            <w:tcW w:w="321" w:type="pct"/>
            <w:hideMark/>
          </w:tcPr>
          <w:p w14:paraId="6714F2B8"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29B07C26" w14:textId="77777777" w:rsidR="00931F10" w:rsidRPr="00D77DA8" w:rsidRDefault="00931F10" w:rsidP="00C83E0B">
            <w:pPr>
              <w:pStyle w:val="DHHStabletext9pt"/>
              <w:rPr>
                <w:color w:val="000000"/>
              </w:rPr>
            </w:pPr>
            <w:r w:rsidRPr="00D77DA8">
              <w:rPr>
                <w:color w:val="000000"/>
              </w:rPr>
              <w:t>Monash</w:t>
            </w:r>
          </w:p>
        </w:tc>
        <w:tc>
          <w:tcPr>
            <w:tcW w:w="330" w:type="pct"/>
            <w:hideMark/>
          </w:tcPr>
          <w:p w14:paraId="72978895" w14:textId="77777777" w:rsidR="00931F10" w:rsidRPr="00D77DA8" w:rsidRDefault="00931F10" w:rsidP="00C83E0B">
            <w:pPr>
              <w:pStyle w:val="DHHStabletext9pt"/>
              <w:rPr>
                <w:color w:val="000000"/>
              </w:rPr>
            </w:pPr>
            <w:r w:rsidRPr="00E46E30">
              <w:rPr>
                <w:color w:val="000000"/>
              </w:rPr>
              <w:t>La Trobe Community Health Service</w:t>
            </w:r>
          </w:p>
        </w:tc>
        <w:tc>
          <w:tcPr>
            <w:tcW w:w="301" w:type="pct"/>
            <w:hideMark/>
          </w:tcPr>
          <w:p w14:paraId="3A5FA09C"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01A14A7B"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23B300F1" w14:textId="77777777" w:rsidR="00931F10" w:rsidRPr="00D77DA8" w:rsidRDefault="00931F10" w:rsidP="00C83E0B">
            <w:pPr>
              <w:pStyle w:val="DHHStabletext9pt"/>
              <w:rPr>
                <w:color w:val="000000"/>
              </w:rPr>
            </w:pPr>
            <w:r w:rsidRPr="00D77DA8">
              <w:rPr>
                <w:color w:val="000000"/>
              </w:rPr>
              <w:t>Yes</w:t>
            </w:r>
          </w:p>
        </w:tc>
      </w:tr>
      <w:tr w:rsidR="00C83E0B" w:rsidRPr="003A1EF9" w14:paraId="0BD0C147" w14:textId="77777777" w:rsidTr="00856F51">
        <w:trPr>
          <w:trHeight w:val="813"/>
        </w:trPr>
        <w:tc>
          <w:tcPr>
            <w:tcW w:w="383" w:type="pct"/>
            <w:hideMark/>
          </w:tcPr>
          <w:p w14:paraId="69385844" w14:textId="77777777" w:rsidR="00931F10" w:rsidRPr="00D77DA8" w:rsidRDefault="00931F10" w:rsidP="00C83E0B">
            <w:pPr>
              <w:pStyle w:val="DHHStabletext9pt"/>
            </w:pPr>
            <w:r w:rsidRPr="00D77DA8">
              <w:t>Moonee Valley City</w:t>
            </w:r>
          </w:p>
        </w:tc>
        <w:tc>
          <w:tcPr>
            <w:tcW w:w="2209" w:type="pct"/>
            <w:hideMark/>
          </w:tcPr>
          <w:p w14:paraId="319F1BD5" w14:textId="77777777" w:rsidR="00931F10" w:rsidRPr="00D77DA8" w:rsidRDefault="00931F10" w:rsidP="00C83E0B">
            <w:pPr>
              <w:pStyle w:val="DHHStabletext9pt"/>
              <w:rPr>
                <w:color w:val="000000"/>
              </w:rPr>
            </w:pPr>
            <w:r w:rsidRPr="00D77DA8">
              <w:rPr>
                <w:color w:val="000000"/>
              </w:rPr>
              <w:t>Aberfeldie; Airport West; Ascot Vale; Avondale Heights; Essendon; Essendon Fields; Essendon North; Essendon West; Flemington; Keilor East; Moonee Ponds; Niddrie; Strathmore; Strathmore Heights; Travancore</w:t>
            </w:r>
          </w:p>
        </w:tc>
        <w:tc>
          <w:tcPr>
            <w:tcW w:w="328" w:type="pct"/>
            <w:hideMark/>
          </w:tcPr>
          <w:p w14:paraId="3FFB848F" w14:textId="77777777" w:rsidR="00931F10" w:rsidRPr="00D77DA8" w:rsidRDefault="00931F10" w:rsidP="00C83E0B">
            <w:pPr>
              <w:pStyle w:val="DHHStabletext9pt"/>
              <w:rPr>
                <w:color w:val="000000"/>
              </w:rPr>
            </w:pPr>
            <w:r w:rsidRPr="00D77DA8">
              <w:rPr>
                <w:color w:val="000000"/>
              </w:rPr>
              <w:t>Western Melbourne</w:t>
            </w:r>
          </w:p>
        </w:tc>
        <w:tc>
          <w:tcPr>
            <w:tcW w:w="321" w:type="pct"/>
            <w:hideMark/>
          </w:tcPr>
          <w:p w14:paraId="2F19350C"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7514D1B1" w14:textId="77777777" w:rsidR="00931F10" w:rsidRPr="00D77DA8" w:rsidRDefault="00931F10" w:rsidP="00C83E0B">
            <w:pPr>
              <w:pStyle w:val="DHHStabletext9pt"/>
              <w:rPr>
                <w:color w:val="000000"/>
              </w:rPr>
            </w:pPr>
            <w:r w:rsidRPr="00D77DA8">
              <w:rPr>
                <w:color w:val="000000"/>
              </w:rPr>
              <w:t>Mooney Valley</w:t>
            </w:r>
          </w:p>
        </w:tc>
        <w:tc>
          <w:tcPr>
            <w:tcW w:w="330" w:type="pct"/>
            <w:hideMark/>
          </w:tcPr>
          <w:p w14:paraId="3ABD6651" w14:textId="77777777" w:rsidR="00931F10" w:rsidRPr="00D77DA8" w:rsidRDefault="00931F10" w:rsidP="00C83E0B">
            <w:pPr>
              <w:pStyle w:val="DHHStabletext9pt"/>
              <w:rPr>
                <w:color w:val="000000"/>
              </w:rPr>
            </w:pPr>
            <w:r w:rsidRPr="00E46E30">
              <w:rPr>
                <w:color w:val="000000"/>
              </w:rPr>
              <w:t>cohealth</w:t>
            </w:r>
          </w:p>
        </w:tc>
        <w:tc>
          <w:tcPr>
            <w:tcW w:w="301" w:type="pct"/>
            <w:hideMark/>
          </w:tcPr>
          <w:p w14:paraId="0F0B0460" w14:textId="77777777" w:rsidR="00931F10" w:rsidRPr="00D77DA8" w:rsidRDefault="00931F10" w:rsidP="00C83E0B">
            <w:pPr>
              <w:pStyle w:val="DHHStabletext9pt"/>
              <w:rPr>
                <w:color w:val="000000"/>
              </w:rPr>
            </w:pPr>
            <w:r w:rsidRPr="00D77DA8">
              <w:rPr>
                <w:color w:val="000000"/>
              </w:rPr>
              <w:t>WEPHU</w:t>
            </w:r>
          </w:p>
        </w:tc>
        <w:tc>
          <w:tcPr>
            <w:tcW w:w="410" w:type="pct"/>
            <w:hideMark/>
          </w:tcPr>
          <w:p w14:paraId="34B38D46" w14:textId="77777777" w:rsidR="00931F10" w:rsidRPr="00D77DA8" w:rsidRDefault="00931F10" w:rsidP="00C83E0B">
            <w:pPr>
              <w:pStyle w:val="DHHStabletext9pt"/>
              <w:rPr>
                <w:color w:val="000000"/>
              </w:rPr>
            </w:pPr>
            <w:r w:rsidRPr="00D77DA8">
              <w:rPr>
                <w:color w:val="000000"/>
              </w:rPr>
              <w:t>West Metro - Lead - Melbourne Health</w:t>
            </w:r>
          </w:p>
        </w:tc>
        <w:tc>
          <w:tcPr>
            <w:tcW w:w="373" w:type="pct"/>
            <w:hideMark/>
          </w:tcPr>
          <w:p w14:paraId="673F8B52" w14:textId="77777777" w:rsidR="00931F10" w:rsidRPr="00D77DA8" w:rsidRDefault="00931F10" w:rsidP="00C83E0B">
            <w:pPr>
              <w:pStyle w:val="DHHStabletext9pt"/>
              <w:rPr>
                <w:color w:val="000000"/>
              </w:rPr>
            </w:pPr>
          </w:p>
        </w:tc>
      </w:tr>
      <w:tr w:rsidR="00C83E0B" w:rsidRPr="003A1EF9" w14:paraId="07360563" w14:textId="77777777" w:rsidTr="00856F51">
        <w:trPr>
          <w:trHeight w:val="900"/>
        </w:trPr>
        <w:tc>
          <w:tcPr>
            <w:tcW w:w="383" w:type="pct"/>
            <w:hideMark/>
          </w:tcPr>
          <w:p w14:paraId="62937744" w14:textId="77777777" w:rsidR="00931F10" w:rsidRPr="00D77DA8" w:rsidRDefault="00931F10" w:rsidP="00C83E0B">
            <w:pPr>
              <w:pStyle w:val="DHHStabletext9pt"/>
            </w:pPr>
            <w:r w:rsidRPr="00D77DA8">
              <w:t>Moorabool Shire</w:t>
            </w:r>
          </w:p>
        </w:tc>
        <w:tc>
          <w:tcPr>
            <w:tcW w:w="2209" w:type="pct"/>
            <w:hideMark/>
          </w:tcPr>
          <w:p w14:paraId="4E534791" w14:textId="6B59989B" w:rsidR="00931F10" w:rsidRPr="00D77DA8" w:rsidRDefault="00931F10" w:rsidP="00C83E0B">
            <w:pPr>
              <w:pStyle w:val="DHHStabletext9pt"/>
              <w:rPr>
                <w:color w:val="000000"/>
              </w:rPr>
            </w:pPr>
            <w:r w:rsidRPr="00D77DA8">
              <w:rPr>
                <w:color w:val="000000"/>
              </w:rPr>
              <w:t>Ballan; Barrys Reef; Bungal; Dales Creek; Gordon</w:t>
            </w:r>
          </w:p>
        </w:tc>
        <w:tc>
          <w:tcPr>
            <w:tcW w:w="328" w:type="pct"/>
            <w:hideMark/>
          </w:tcPr>
          <w:p w14:paraId="6BED53AC" w14:textId="77777777" w:rsidR="00931F10" w:rsidRPr="00D77DA8" w:rsidRDefault="00931F10" w:rsidP="00C83E0B">
            <w:pPr>
              <w:pStyle w:val="DHHStabletext9pt"/>
              <w:rPr>
                <w:color w:val="000000"/>
              </w:rPr>
            </w:pPr>
            <w:r w:rsidRPr="00D77DA8">
              <w:rPr>
                <w:color w:val="000000"/>
              </w:rPr>
              <w:t>Central Highlands</w:t>
            </w:r>
          </w:p>
        </w:tc>
        <w:tc>
          <w:tcPr>
            <w:tcW w:w="321" w:type="pct"/>
            <w:hideMark/>
          </w:tcPr>
          <w:p w14:paraId="0AAFF110"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1ABFA4CB" w14:textId="77777777" w:rsidR="00931F10" w:rsidRPr="00D77DA8" w:rsidRDefault="00931F10" w:rsidP="00C83E0B">
            <w:pPr>
              <w:pStyle w:val="DHHStabletext9pt"/>
              <w:rPr>
                <w:color w:val="000000"/>
              </w:rPr>
            </w:pPr>
            <w:r w:rsidRPr="00D77DA8">
              <w:rPr>
                <w:color w:val="000000"/>
              </w:rPr>
              <w:t>Central Highlands</w:t>
            </w:r>
          </w:p>
        </w:tc>
        <w:tc>
          <w:tcPr>
            <w:tcW w:w="330" w:type="pct"/>
            <w:hideMark/>
          </w:tcPr>
          <w:p w14:paraId="4521B924" w14:textId="77777777" w:rsidR="00931F10" w:rsidRPr="00D77DA8" w:rsidRDefault="00931F10" w:rsidP="00C83E0B">
            <w:pPr>
              <w:pStyle w:val="DHHStabletext9pt"/>
              <w:rPr>
                <w:color w:val="000000"/>
              </w:rPr>
            </w:pPr>
            <w:r w:rsidRPr="00D77DA8">
              <w:rPr>
                <w:color w:val="000000"/>
              </w:rPr>
              <w:t>Ballarat Health Services</w:t>
            </w:r>
          </w:p>
        </w:tc>
        <w:tc>
          <w:tcPr>
            <w:tcW w:w="301" w:type="pct"/>
            <w:hideMark/>
          </w:tcPr>
          <w:p w14:paraId="39C8792A"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5ADD06FD"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6C6203BB" w14:textId="77777777" w:rsidR="00931F10" w:rsidRPr="00D77DA8" w:rsidRDefault="00931F10" w:rsidP="00C83E0B">
            <w:pPr>
              <w:pStyle w:val="DHHStabletext9pt"/>
              <w:rPr>
                <w:color w:val="000000"/>
              </w:rPr>
            </w:pPr>
            <w:r w:rsidRPr="00D77DA8">
              <w:rPr>
                <w:color w:val="000000"/>
              </w:rPr>
              <w:t>Yes</w:t>
            </w:r>
          </w:p>
        </w:tc>
      </w:tr>
      <w:tr w:rsidR="00C83E0B" w:rsidRPr="003A1EF9" w14:paraId="3E67D932" w14:textId="77777777" w:rsidTr="00856F51">
        <w:trPr>
          <w:trHeight w:val="1717"/>
        </w:trPr>
        <w:tc>
          <w:tcPr>
            <w:tcW w:w="383" w:type="pct"/>
            <w:hideMark/>
          </w:tcPr>
          <w:p w14:paraId="3E796289" w14:textId="77777777" w:rsidR="00931F10" w:rsidRPr="00D77DA8" w:rsidRDefault="00931F10" w:rsidP="00C83E0B">
            <w:pPr>
              <w:pStyle w:val="DHHStabletext9pt"/>
            </w:pPr>
            <w:r w:rsidRPr="00D77DA8">
              <w:t>Moorabool Shire</w:t>
            </w:r>
          </w:p>
        </w:tc>
        <w:tc>
          <w:tcPr>
            <w:tcW w:w="2209" w:type="pct"/>
            <w:hideMark/>
          </w:tcPr>
          <w:p w14:paraId="51C5E4C1" w14:textId="77777777" w:rsidR="00931F10" w:rsidRPr="00D77DA8" w:rsidRDefault="00931F10" w:rsidP="00C83E0B">
            <w:pPr>
              <w:pStyle w:val="DHHStabletext9pt"/>
              <w:rPr>
                <w:color w:val="000000"/>
              </w:rPr>
            </w:pPr>
            <w:r w:rsidRPr="00D77DA8">
              <w:rPr>
                <w:color w:val="000000"/>
              </w:rPr>
              <w:t>Bacchus Marsh; Balliang; Balliang East; Barkstead;  Beremboke; Blackwood; Blakeville; Bolwarrah; Bullarook; Bullarto South; Bunding;  Bungaree; Buninyong; Cargerie; Clarendon; Claretown; Clarkes Hill; Coimadai; Colbrook;  Darley; Dunnstown; Durham Lead; Elaine; Fiskville; Glen Park; Glenmore; Greendale; Grenville; Hopetoun Park; Ingliston; Korobeit; Korweinguboora; Lal Lal; Leigh Creek; Lerderderg; Long Forest; Maddingley; Meredith; Merrimu; Millbrook; Mollongghip; Morrisons; Mount Doran; Mount Egerton; Mount Wallace; Myrniong; Navigators; Parwan; Pentland Hills; Pootilla; Rowsley; Scotsburn; Spargo Creek; Springbank; Trentham; Wallace; Warrenheip; Wattle Flat; Yendon</w:t>
            </w:r>
          </w:p>
        </w:tc>
        <w:tc>
          <w:tcPr>
            <w:tcW w:w="328" w:type="pct"/>
            <w:hideMark/>
          </w:tcPr>
          <w:p w14:paraId="2FE5A8CA" w14:textId="77777777" w:rsidR="00931F10" w:rsidRPr="00D77DA8" w:rsidRDefault="00931F10" w:rsidP="00C83E0B">
            <w:pPr>
              <w:pStyle w:val="DHHStabletext9pt"/>
              <w:rPr>
                <w:color w:val="000000"/>
              </w:rPr>
            </w:pPr>
            <w:r w:rsidRPr="00D77DA8">
              <w:rPr>
                <w:color w:val="000000"/>
              </w:rPr>
              <w:t>Central Highlands</w:t>
            </w:r>
          </w:p>
        </w:tc>
        <w:tc>
          <w:tcPr>
            <w:tcW w:w="321" w:type="pct"/>
            <w:hideMark/>
          </w:tcPr>
          <w:p w14:paraId="18891DB5"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5F4577CD" w14:textId="77777777" w:rsidR="00931F10" w:rsidRPr="00D77DA8" w:rsidRDefault="00931F10" w:rsidP="00C83E0B">
            <w:pPr>
              <w:pStyle w:val="DHHStabletext9pt"/>
              <w:rPr>
                <w:color w:val="000000"/>
              </w:rPr>
            </w:pPr>
            <w:r w:rsidRPr="00D77DA8">
              <w:rPr>
                <w:color w:val="000000"/>
              </w:rPr>
              <w:t>Central Highlands</w:t>
            </w:r>
          </w:p>
        </w:tc>
        <w:tc>
          <w:tcPr>
            <w:tcW w:w="330" w:type="pct"/>
            <w:hideMark/>
          </w:tcPr>
          <w:p w14:paraId="0711E584" w14:textId="77777777" w:rsidR="00931F10" w:rsidRPr="00D77DA8" w:rsidRDefault="00931F10" w:rsidP="00C83E0B">
            <w:pPr>
              <w:pStyle w:val="DHHStabletext9pt"/>
              <w:rPr>
                <w:color w:val="000000"/>
              </w:rPr>
            </w:pPr>
            <w:r w:rsidRPr="00D77DA8">
              <w:rPr>
                <w:color w:val="000000"/>
              </w:rPr>
              <w:t>Ballarat Health Services</w:t>
            </w:r>
          </w:p>
        </w:tc>
        <w:tc>
          <w:tcPr>
            <w:tcW w:w="301" w:type="pct"/>
            <w:hideMark/>
          </w:tcPr>
          <w:p w14:paraId="549EBDF6" w14:textId="77777777" w:rsidR="00931F10" w:rsidRPr="00D77DA8" w:rsidRDefault="00931F10" w:rsidP="00C83E0B">
            <w:pPr>
              <w:pStyle w:val="DHHStabletext9pt"/>
              <w:rPr>
                <w:color w:val="000000"/>
              </w:rPr>
            </w:pPr>
            <w:r w:rsidRPr="00D77DA8">
              <w:rPr>
                <w:color w:val="000000"/>
              </w:rPr>
              <w:t>WEPHU</w:t>
            </w:r>
          </w:p>
        </w:tc>
        <w:tc>
          <w:tcPr>
            <w:tcW w:w="410" w:type="pct"/>
            <w:hideMark/>
          </w:tcPr>
          <w:p w14:paraId="68EA6B5E"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0425EFA9" w14:textId="77777777" w:rsidR="00931F10" w:rsidRPr="00D77DA8" w:rsidRDefault="00931F10" w:rsidP="00C83E0B">
            <w:pPr>
              <w:pStyle w:val="DHHStabletext9pt"/>
              <w:rPr>
                <w:color w:val="000000"/>
              </w:rPr>
            </w:pPr>
            <w:r w:rsidRPr="00D77DA8">
              <w:rPr>
                <w:color w:val="000000"/>
              </w:rPr>
              <w:t>Yes</w:t>
            </w:r>
          </w:p>
        </w:tc>
      </w:tr>
      <w:tr w:rsidR="00C83E0B" w:rsidRPr="003A1EF9" w14:paraId="6DA4333E" w14:textId="77777777" w:rsidTr="00856F51">
        <w:trPr>
          <w:trHeight w:val="900"/>
        </w:trPr>
        <w:tc>
          <w:tcPr>
            <w:tcW w:w="383" w:type="pct"/>
            <w:hideMark/>
          </w:tcPr>
          <w:p w14:paraId="310432D9" w14:textId="77777777" w:rsidR="00931F10" w:rsidRPr="00D77DA8" w:rsidRDefault="00931F10" w:rsidP="00C83E0B">
            <w:pPr>
              <w:pStyle w:val="DHHStabletext9pt"/>
            </w:pPr>
            <w:r w:rsidRPr="00D77DA8">
              <w:t>Moreland City</w:t>
            </w:r>
          </w:p>
        </w:tc>
        <w:tc>
          <w:tcPr>
            <w:tcW w:w="2209" w:type="pct"/>
            <w:hideMark/>
          </w:tcPr>
          <w:p w14:paraId="091F86F4" w14:textId="77777777" w:rsidR="00931F10" w:rsidRPr="00D77DA8" w:rsidRDefault="00931F10" w:rsidP="00C83E0B">
            <w:pPr>
              <w:pStyle w:val="DHHStabletext9pt"/>
              <w:rPr>
                <w:color w:val="000000"/>
              </w:rPr>
            </w:pPr>
            <w:r w:rsidRPr="00D77DA8">
              <w:rPr>
                <w:color w:val="000000"/>
              </w:rPr>
              <w:t>Brunswick, Brunswck East, Brunswick West, Coburg, Coburg North, Fawkner, Fitzroy North (Part), Glenroy, Hadfield, Oak Park, Pascoe Vale, Pascoe Vale South, Tullamarine (Part)</w:t>
            </w:r>
          </w:p>
        </w:tc>
        <w:tc>
          <w:tcPr>
            <w:tcW w:w="328" w:type="pct"/>
            <w:hideMark/>
          </w:tcPr>
          <w:p w14:paraId="1988E322" w14:textId="77777777" w:rsidR="00931F10" w:rsidRPr="00D77DA8" w:rsidRDefault="00931F10" w:rsidP="00C83E0B">
            <w:pPr>
              <w:pStyle w:val="DHHStabletext9pt"/>
              <w:rPr>
                <w:color w:val="000000"/>
              </w:rPr>
            </w:pPr>
            <w:r w:rsidRPr="00D77DA8">
              <w:rPr>
                <w:color w:val="000000"/>
              </w:rPr>
              <w:t>Hume Moreland</w:t>
            </w:r>
          </w:p>
        </w:tc>
        <w:tc>
          <w:tcPr>
            <w:tcW w:w="321" w:type="pct"/>
            <w:hideMark/>
          </w:tcPr>
          <w:p w14:paraId="337E5470" w14:textId="77777777" w:rsidR="00931F10" w:rsidRPr="00D77DA8" w:rsidRDefault="00931F10" w:rsidP="00C83E0B">
            <w:pPr>
              <w:pStyle w:val="DHHStabletext9pt"/>
              <w:rPr>
                <w:color w:val="000000"/>
              </w:rPr>
            </w:pPr>
            <w:r w:rsidRPr="00D77DA8">
              <w:rPr>
                <w:color w:val="000000"/>
              </w:rPr>
              <w:t>North</w:t>
            </w:r>
          </w:p>
        </w:tc>
        <w:tc>
          <w:tcPr>
            <w:tcW w:w="345" w:type="pct"/>
            <w:hideMark/>
          </w:tcPr>
          <w:p w14:paraId="107A124D" w14:textId="77777777" w:rsidR="00931F10" w:rsidRPr="00D77DA8" w:rsidRDefault="00931F10" w:rsidP="00C83E0B">
            <w:pPr>
              <w:pStyle w:val="DHHStabletext9pt"/>
              <w:rPr>
                <w:color w:val="000000"/>
              </w:rPr>
            </w:pPr>
            <w:r w:rsidRPr="00D77DA8">
              <w:rPr>
                <w:color w:val="000000"/>
              </w:rPr>
              <w:t>Moreland</w:t>
            </w:r>
          </w:p>
        </w:tc>
        <w:tc>
          <w:tcPr>
            <w:tcW w:w="330" w:type="pct"/>
            <w:hideMark/>
          </w:tcPr>
          <w:p w14:paraId="361CBDA2" w14:textId="77777777" w:rsidR="00931F10" w:rsidRPr="00D77DA8" w:rsidRDefault="00931F10" w:rsidP="00C83E0B">
            <w:pPr>
              <w:pStyle w:val="DHHStabletext9pt"/>
              <w:rPr>
                <w:color w:val="000000"/>
              </w:rPr>
            </w:pPr>
            <w:r w:rsidRPr="0047327F">
              <w:rPr>
                <w:color w:val="000000"/>
              </w:rPr>
              <w:t>Merri Health</w:t>
            </w:r>
          </w:p>
        </w:tc>
        <w:tc>
          <w:tcPr>
            <w:tcW w:w="301" w:type="pct"/>
            <w:hideMark/>
          </w:tcPr>
          <w:p w14:paraId="07A3C965" w14:textId="77777777" w:rsidR="00931F10" w:rsidRPr="00D77DA8" w:rsidRDefault="00931F10" w:rsidP="00C83E0B">
            <w:pPr>
              <w:pStyle w:val="DHHStabletext9pt"/>
              <w:rPr>
                <w:color w:val="000000"/>
              </w:rPr>
            </w:pPr>
            <w:r w:rsidRPr="00D77DA8">
              <w:rPr>
                <w:color w:val="000000"/>
              </w:rPr>
              <w:t>WEPHU</w:t>
            </w:r>
          </w:p>
        </w:tc>
        <w:tc>
          <w:tcPr>
            <w:tcW w:w="410" w:type="pct"/>
            <w:hideMark/>
          </w:tcPr>
          <w:p w14:paraId="3171DD7E"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hideMark/>
          </w:tcPr>
          <w:p w14:paraId="784AEE48" w14:textId="77777777" w:rsidR="00931F10" w:rsidRPr="00D77DA8" w:rsidRDefault="00931F10" w:rsidP="00C83E0B">
            <w:pPr>
              <w:pStyle w:val="DHHStabletext9pt"/>
              <w:rPr>
                <w:color w:val="000000"/>
              </w:rPr>
            </w:pPr>
          </w:p>
        </w:tc>
      </w:tr>
      <w:tr w:rsidR="00C83E0B" w:rsidRPr="003A1EF9" w14:paraId="618BC5F2" w14:textId="77777777" w:rsidTr="00856F51">
        <w:trPr>
          <w:trHeight w:val="909"/>
        </w:trPr>
        <w:tc>
          <w:tcPr>
            <w:tcW w:w="383" w:type="pct"/>
            <w:hideMark/>
          </w:tcPr>
          <w:p w14:paraId="4F4ED1BA" w14:textId="77777777" w:rsidR="00931F10" w:rsidRPr="00D77DA8" w:rsidRDefault="00931F10" w:rsidP="00C83E0B">
            <w:pPr>
              <w:pStyle w:val="DHHStabletext9pt"/>
            </w:pPr>
            <w:r w:rsidRPr="00D77DA8">
              <w:t>Mornington Peninsula Shire</w:t>
            </w:r>
          </w:p>
        </w:tc>
        <w:tc>
          <w:tcPr>
            <w:tcW w:w="2209" w:type="pct"/>
            <w:hideMark/>
          </w:tcPr>
          <w:p w14:paraId="1DD09E52" w14:textId="77777777" w:rsidR="00931F10" w:rsidRPr="00D77DA8" w:rsidRDefault="00931F10" w:rsidP="00C83E0B">
            <w:pPr>
              <w:pStyle w:val="DHHStabletext9pt"/>
              <w:rPr>
                <w:color w:val="000000"/>
              </w:rPr>
            </w:pPr>
            <w:r w:rsidRPr="00D77DA8">
              <w:rPr>
                <w:color w:val="000000"/>
              </w:rPr>
              <w:t>Arthurs Seat, Balnarring, Balnarring Beach, Baxter, Bittern, Blairgowrie, Boneo, Cape Schanck, Crib Point, Dromana, Fingal, Flinders, Hastings, HMAS Cerberus, Kunyung, Main Ridge, Mccrae, Merricks, Merricks Beach, Merricks North, Moorooduc, Mornington, Mount Eliza, Mount Martha, Pearcedale, Point Leo, Portsea, Red Hill, Red Hill South, Rosebud, Rosebud West, Rye, Safety Beach, Shoreham, Somers, Somerville, Sorrento, St Andrews Beach, Tootgarook, Tuerong And Tyabb</w:t>
            </w:r>
          </w:p>
        </w:tc>
        <w:tc>
          <w:tcPr>
            <w:tcW w:w="328" w:type="pct"/>
            <w:hideMark/>
          </w:tcPr>
          <w:p w14:paraId="675669C8" w14:textId="77777777" w:rsidR="00931F10" w:rsidRPr="00D77DA8" w:rsidRDefault="00931F10" w:rsidP="00C83E0B">
            <w:pPr>
              <w:pStyle w:val="DHHStabletext9pt"/>
              <w:rPr>
                <w:color w:val="000000"/>
              </w:rPr>
            </w:pPr>
            <w:r w:rsidRPr="00D77DA8">
              <w:rPr>
                <w:color w:val="000000"/>
              </w:rPr>
              <w:t>Bayside Peninsula Area (BPA)</w:t>
            </w:r>
          </w:p>
        </w:tc>
        <w:tc>
          <w:tcPr>
            <w:tcW w:w="321" w:type="pct"/>
            <w:hideMark/>
          </w:tcPr>
          <w:p w14:paraId="79250E1F"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1D9BADC1" w14:textId="77777777" w:rsidR="00931F10" w:rsidRPr="00D77DA8" w:rsidRDefault="00931F10" w:rsidP="00C83E0B">
            <w:pPr>
              <w:pStyle w:val="DHHStabletext9pt"/>
              <w:rPr>
                <w:color w:val="000000"/>
              </w:rPr>
            </w:pPr>
            <w:r w:rsidRPr="00D77DA8">
              <w:rPr>
                <w:color w:val="000000"/>
              </w:rPr>
              <w:t>Bayside Peninsula  Lower (Frankston, Mornington Peninsula)</w:t>
            </w:r>
          </w:p>
        </w:tc>
        <w:tc>
          <w:tcPr>
            <w:tcW w:w="330" w:type="pct"/>
            <w:hideMark/>
          </w:tcPr>
          <w:p w14:paraId="78658D91" w14:textId="77777777" w:rsidR="00931F10" w:rsidRPr="00D77DA8" w:rsidRDefault="00931F10" w:rsidP="00C83E0B">
            <w:pPr>
              <w:pStyle w:val="DHHStabletext9pt"/>
              <w:rPr>
                <w:color w:val="000000"/>
              </w:rPr>
            </w:pPr>
            <w:r w:rsidRPr="0047327F">
              <w:rPr>
                <w:color w:val="000000"/>
              </w:rPr>
              <w:t>Peninsula Health</w:t>
            </w:r>
          </w:p>
        </w:tc>
        <w:tc>
          <w:tcPr>
            <w:tcW w:w="301" w:type="pct"/>
            <w:hideMark/>
          </w:tcPr>
          <w:p w14:paraId="6AF4E650"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503487F8" w14:textId="77777777" w:rsidR="00931F10" w:rsidRPr="00D77DA8" w:rsidRDefault="00931F10" w:rsidP="00C83E0B">
            <w:pPr>
              <w:pStyle w:val="DHHStabletext9pt"/>
              <w:rPr>
                <w:color w:val="000000"/>
              </w:rPr>
            </w:pPr>
            <w:r w:rsidRPr="00D77DA8">
              <w:rPr>
                <w:color w:val="000000"/>
              </w:rPr>
              <w:t>South Metro - Lead - Alfred Health</w:t>
            </w:r>
          </w:p>
        </w:tc>
        <w:tc>
          <w:tcPr>
            <w:tcW w:w="373" w:type="pct"/>
            <w:hideMark/>
          </w:tcPr>
          <w:p w14:paraId="0A510725" w14:textId="77777777" w:rsidR="00931F10" w:rsidRPr="00D77DA8" w:rsidRDefault="00931F10" w:rsidP="00C83E0B">
            <w:pPr>
              <w:pStyle w:val="DHHStabletext9pt"/>
              <w:rPr>
                <w:color w:val="000000"/>
              </w:rPr>
            </w:pPr>
          </w:p>
        </w:tc>
      </w:tr>
      <w:tr w:rsidR="00C83E0B" w:rsidRPr="003A1EF9" w14:paraId="40D029CA" w14:textId="77777777" w:rsidTr="00856F51">
        <w:trPr>
          <w:trHeight w:val="1901"/>
        </w:trPr>
        <w:tc>
          <w:tcPr>
            <w:tcW w:w="383" w:type="pct"/>
            <w:hideMark/>
          </w:tcPr>
          <w:p w14:paraId="4A35B4E6" w14:textId="77777777" w:rsidR="00931F10" w:rsidRPr="00D77DA8" w:rsidRDefault="00931F10" w:rsidP="00C83E0B">
            <w:pPr>
              <w:pStyle w:val="DHHStabletext9pt"/>
            </w:pPr>
            <w:r w:rsidRPr="00D77DA8">
              <w:lastRenderedPageBreak/>
              <w:t>Mount Alexander Shire</w:t>
            </w:r>
          </w:p>
        </w:tc>
        <w:tc>
          <w:tcPr>
            <w:tcW w:w="2209" w:type="pct"/>
            <w:hideMark/>
          </w:tcPr>
          <w:p w14:paraId="0969A92F" w14:textId="77777777" w:rsidR="00931F10" w:rsidRPr="00D77DA8" w:rsidRDefault="00931F10" w:rsidP="00C83E0B">
            <w:pPr>
              <w:pStyle w:val="DHHStabletext9pt"/>
              <w:rPr>
                <w:color w:val="000000"/>
              </w:rPr>
            </w:pPr>
            <w:r w:rsidRPr="00D77DA8">
              <w:rPr>
                <w:color w:val="000000"/>
              </w:rPr>
              <w:t>Barfold; Baringhup; Baringhup West; Barkers Creek; Bradford; Campbells Creek; Campbelltown; Carisbrook; Castlemaine; Chewton; Chewton Bushlands; Drummond North; Eastville; Eddington; Elphinstone; Faraday; Franklinford; Fryerstown; Glenluce; Golden Point (Castlemaine); Gower; Green Gully; Greenhill; Guildford; Harcourt; Harcourt North; Irishtown; Joyces Creek; Langley; Lockwood South; Maldon; Malmsbury; Mckenzie Hill; Metcalfe; Metcalfe East; Moolort; Moonlight Flat (Castlemaine); Muckleford; Muckleford South; Myrtle Creek; Neereman; Newstead; Nuggetty; Ravenswood; Ravenswood South; Redesdale; Sandon; Shelbourne; Strangways; Strathlea; Sutton Grange; Taradale; Tarilta; Tarrengower; Vaughan; Walmer; Welshmans Reef; Werona; Yandoit Hills; Yapeen;</w:t>
            </w:r>
          </w:p>
        </w:tc>
        <w:tc>
          <w:tcPr>
            <w:tcW w:w="328" w:type="pct"/>
            <w:hideMark/>
          </w:tcPr>
          <w:p w14:paraId="358C2A72" w14:textId="77777777" w:rsidR="00931F10" w:rsidRPr="00D77DA8" w:rsidRDefault="00931F10" w:rsidP="00C83E0B">
            <w:pPr>
              <w:pStyle w:val="DHHStabletext9pt"/>
              <w:rPr>
                <w:color w:val="000000"/>
              </w:rPr>
            </w:pPr>
            <w:r w:rsidRPr="00D77DA8">
              <w:rPr>
                <w:color w:val="000000"/>
              </w:rPr>
              <w:t>Loddon</w:t>
            </w:r>
          </w:p>
        </w:tc>
        <w:tc>
          <w:tcPr>
            <w:tcW w:w="321" w:type="pct"/>
            <w:hideMark/>
          </w:tcPr>
          <w:p w14:paraId="5D451DFF"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3F9C9D86" w14:textId="77777777" w:rsidR="00931F10" w:rsidRPr="00D77DA8" w:rsidRDefault="00931F10" w:rsidP="00C83E0B">
            <w:pPr>
              <w:pStyle w:val="DHHStabletext9pt"/>
              <w:rPr>
                <w:color w:val="000000"/>
              </w:rPr>
            </w:pPr>
            <w:r w:rsidRPr="00D77DA8">
              <w:rPr>
                <w:color w:val="000000"/>
              </w:rPr>
              <w:t>Loddon</w:t>
            </w:r>
          </w:p>
        </w:tc>
        <w:tc>
          <w:tcPr>
            <w:tcW w:w="330" w:type="pct"/>
            <w:hideMark/>
          </w:tcPr>
          <w:p w14:paraId="7653E801" w14:textId="77777777" w:rsidR="00931F10" w:rsidRPr="00D77DA8" w:rsidRDefault="00931F10" w:rsidP="00C83E0B">
            <w:pPr>
              <w:pStyle w:val="DHHStabletext9pt"/>
              <w:rPr>
                <w:color w:val="000000"/>
              </w:rPr>
            </w:pPr>
            <w:r w:rsidRPr="0047327F">
              <w:rPr>
                <w:color w:val="000000"/>
              </w:rPr>
              <w:t>Bendigo Community Health Service</w:t>
            </w:r>
          </w:p>
        </w:tc>
        <w:tc>
          <w:tcPr>
            <w:tcW w:w="301" w:type="pct"/>
            <w:hideMark/>
          </w:tcPr>
          <w:p w14:paraId="0BF875C3" w14:textId="77777777" w:rsidR="00931F10" w:rsidRPr="00D77DA8" w:rsidRDefault="00931F10" w:rsidP="00C83E0B">
            <w:pPr>
              <w:pStyle w:val="DHHStabletext9pt"/>
              <w:rPr>
                <w:color w:val="000000"/>
              </w:rPr>
            </w:pPr>
            <w:r w:rsidRPr="00D77DA8">
              <w:rPr>
                <w:color w:val="000000"/>
              </w:rPr>
              <w:t>Bendigo Health</w:t>
            </w:r>
          </w:p>
        </w:tc>
        <w:tc>
          <w:tcPr>
            <w:tcW w:w="410" w:type="pct"/>
            <w:hideMark/>
          </w:tcPr>
          <w:p w14:paraId="55CA7602"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531DFF18" w14:textId="77777777" w:rsidR="00931F10" w:rsidRPr="00D77DA8" w:rsidRDefault="00931F10" w:rsidP="00C83E0B">
            <w:pPr>
              <w:pStyle w:val="DHHStabletext9pt"/>
              <w:rPr>
                <w:color w:val="000000"/>
              </w:rPr>
            </w:pPr>
            <w:r w:rsidRPr="00D77DA8">
              <w:rPr>
                <w:color w:val="000000"/>
              </w:rPr>
              <w:t>Yes</w:t>
            </w:r>
          </w:p>
        </w:tc>
      </w:tr>
      <w:tr w:rsidR="00C83E0B" w:rsidRPr="003A1EF9" w14:paraId="57CF0F59" w14:textId="77777777" w:rsidTr="00856F51">
        <w:trPr>
          <w:trHeight w:val="2453"/>
        </w:trPr>
        <w:tc>
          <w:tcPr>
            <w:tcW w:w="383" w:type="pct"/>
            <w:hideMark/>
          </w:tcPr>
          <w:p w14:paraId="0CDFFDB5" w14:textId="77777777" w:rsidR="00931F10" w:rsidRPr="00D77DA8" w:rsidRDefault="00931F10" w:rsidP="00C83E0B">
            <w:pPr>
              <w:pStyle w:val="DHHStabletext9pt"/>
            </w:pPr>
            <w:r w:rsidRPr="00D77DA8">
              <w:t>Moyne Shire</w:t>
            </w:r>
          </w:p>
        </w:tc>
        <w:tc>
          <w:tcPr>
            <w:tcW w:w="2209" w:type="pct"/>
            <w:hideMark/>
          </w:tcPr>
          <w:p w14:paraId="0814BBA2" w14:textId="77777777" w:rsidR="00931F10" w:rsidRPr="00D77DA8" w:rsidRDefault="00931F10" w:rsidP="00C83E0B">
            <w:pPr>
              <w:pStyle w:val="DHHStabletext9pt"/>
              <w:rPr>
                <w:color w:val="000000"/>
              </w:rPr>
            </w:pPr>
            <w:r w:rsidRPr="00D77DA8">
              <w:rPr>
                <w:color w:val="000000"/>
              </w:rPr>
              <w:t>Allansford; Ayrford; Ballangeich; Bessiebelle; Breakaway Creek; Broadwater; Brucknell; Bushfield; Byaduk; Caramut; Chatsworth; Codrington; Condah Swamp; Crossley; Cudgee; Curdievale; Darlington; Dennington; Dundonnell; Ecklin South; Ellerslie; Framlingham; Framlingham East; Garvoc; Gazette; Gerrigerrup; Glenormiston North; Grassmere; Hawkesdale; Hexham; Heytesbury Lower; Illowa; Killarney; Kirkstall; Knebsworth; Kolora; Koroit; Laang; Lake Condah; Macarthur; Mailors Flat; Mepunga; Mepunga East; Mepunga West; Minhamite; Minjah; Mortlake; Nareeb; Naringal; Naringal East; Nerrin Nerrin; Nirranda; Nirranda East; Nirranda South; Noorat; Nullawarre; Nullawarre North; Orford; Panmure; Penshurst; Peterborough; Port Fairy; Pura Pura; Purdeet; Purnim; Purnim West; Rosebrook; Southern Cross; St Helens; Taroon; Tarrone; Terang; The Cove; The Sisters; Toolong; Tower Hill; Tyrendarra; Tyrendarra East; Wallacedale; Wangoom; Warrabkook; Warrnambool; Warrong; Willatook; Winslow; Woodford; Woolsthorpe; Woorndoo; Yambuk; Yangery; Yarpturk</w:t>
            </w:r>
          </w:p>
        </w:tc>
        <w:tc>
          <w:tcPr>
            <w:tcW w:w="328" w:type="pct"/>
            <w:hideMark/>
          </w:tcPr>
          <w:p w14:paraId="1E6EF624" w14:textId="77777777" w:rsidR="00931F10" w:rsidRPr="00D77DA8" w:rsidRDefault="00931F10" w:rsidP="00C83E0B">
            <w:pPr>
              <w:pStyle w:val="DHHStabletext9pt"/>
              <w:rPr>
                <w:color w:val="000000"/>
              </w:rPr>
            </w:pPr>
            <w:r w:rsidRPr="00D77DA8">
              <w:rPr>
                <w:color w:val="000000"/>
              </w:rPr>
              <w:t>Wimmera South West</w:t>
            </w:r>
          </w:p>
        </w:tc>
        <w:tc>
          <w:tcPr>
            <w:tcW w:w="321" w:type="pct"/>
            <w:hideMark/>
          </w:tcPr>
          <w:p w14:paraId="21E59713"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7FE17F20" w14:textId="77777777" w:rsidR="00931F10" w:rsidRPr="00D77DA8" w:rsidRDefault="00931F10" w:rsidP="00C83E0B">
            <w:pPr>
              <w:pStyle w:val="DHHStabletext9pt"/>
              <w:rPr>
                <w:color w:val="000000"/>
              </w:rPr>
            </w:pPr>
            <w:r w:rsidRPr="00D77DA8">
              <w:rPr>
                <w:color w:val="000000"/>
              </w:rPr>
              <w:t>WSW - South West</w:t>
            </w:r>
          </w:p>
        </w:tc>
        <w:tc>
          <w:tcPr>
            <w:tcW w:w="330" w:type="pct"/>
            <w:hideMark/>
          </w:tcPr>
          <w:p w14:paraId="08D6FCEB" w14:textId="77777777" w:rsidR="00931F10" w:rsidRPr="00D77DA8" w:rsidRDefault="00931F10" w:rsidP="00C83E0B">
            <w:pPr>
              <w:pStyle w:val="DHHStabletext9pt"/>
              <w:rPr>
                <w:color w:val="000000"/>
              </w:rPr>
            </w:pPr>
            <w:r w:rsidRPr="00942CEE">
              <w:rPr>
                <w:color w:val="000000"/>
              </w:rPr>
              <w:t>South West Health Care</w:t>
            </w:r>
          </w:p>
        </w:tc>
        <w:tc>
          <w:tcPr>
            <w:tcW w:w="301" w:type="pct"/>
            <w:hideMark/>
          </w:tcPr>
          <w:p w14:paraId="3AB17473"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44CD38A4"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1002D5C1" w14:textId="77777777" w:rsidR="00931F10" w:rsidRPr="00D77DA8" w:rsidRDefault="00931F10" w:rsidP="00C83E0B">
            <w:pPr>
              <w:pStyle w:val="DHHStabletext9pt"/>
              <w:rPr>
                <w:color w:val="000000"/>
              </w:rPr>
            </w:pPr>
            <w:r w:rsidRPr="00D77DA8">
              <w:rPr>
                <w:color w:val="000000"/>
              </w:rPr>
              <w:t>Yes</w:t>
            </w:r>
          </w:p>
        </w:tc>
      </w:tr>
      <w:tr w:rsidR="00C83E0B" w:rsidRPr="003A1EF9" w14:paraId="53455BFB" w14:textId="77777777" w:rsidTr="00856F51">
        <w:trPr>
          <w:trHeight w:val="1002"/>
        </w:trPr>
        <w:tc>
          <w:tcPr>
            <w:tcW w:w="383" w:type="pct"/>
            <w:shd w:val="clear" w:color="auto" w:fill="auto"/>
            <w:hideMark/>
          </w:tcPr>
          <w:p w14:paraId="3D8CB90D" w14:textId="77777777" w:rsidR="00931F10" w:rsidRPr="00432ACB" w:rsidRDefault="00931F10" w:rsidP="00C83E0B">
            <w:pPr>
              <w:pStyle w:val="DHHStabletext9pt"/>
            </w:pPr>
            <w:r w:rsidRPr="00432ACB">
              <w:t>Murrindindi Shire</w:t>
            </w:r>
          </w:p>
        </w:tc>
        <w:tc>
          <w:tcPr>
            <w:tcW w:w="2209" w:type="pct"/>
            <w:shd w:val="clear" w:color="auto" w:fill="auto"/>
            <w:hideMark/>
          </w:tcPr>
          <w:p w14:paraId="5AA3FAE4" w14:textId="77777777" w:rsidR="00931F10" w:rsidRPr="00D77DA8" w:rsidRDefault="00931F10" w:rsidP="00C83E0B">
            <w:pPr>
              <w:pStyle w:val="DHHStabletext9pt"/>
            </w:pPr>
            <w:r w:rsidRPr="00D77DA8">
              <w:t>Acheron, Alexandra, Buxton, Cathkin, Castella, Caveat, Devils River, Dropmore, Eildon, Fawcett, Flowerdale, Ghin Ghin, Glenburn, Gobur, Granton, Highlands, Homewood, Kanumbra, Kerrisdale, Killingworth, Kinglake, Kinglake Central, Kinglake West, Koriella, Limestone, Maintongoon, Molesworth, Murrindindi, Pheasant Creek, Rubicon, Strath Creek, Taggerty, Taylor Bay, Terip Terip, Thornton, Toolangi, Whanregarwen, Yarck, Yea</w:t>
            </w:r>
          </w:p>
        </w:tc>
        <w:tc>
          <w:tcPr>
            <w:tcW w:w="328" w:type="pct"/>
            <w:shd w:val="clear" w:color="auto" w:fill="auto"/>
            <w:hideMark/>
          </w:tcPr>
          <w:p w14:paraId="5FDCEE7E" w14:textId="77777777" w:rsidR="00931F10" w:rsidRPr="00D77DA8" w:rsidRDefault="00931F10" w:rsidP="00C83E0B">
            <w:pPr>
              <w:pStyle w:val="DHHStabletext9pt"/>
              <w:rPr>
                <w:color w:val="000000"/>
              </w:rPr>
            </w:pPr>
            <w:r w:rsidRPr="00D77DA8">
              <w:rPr>
                <w:color w:val="000000"/>
              </w:rPr>
              <w:t xml:space="preserve">Goulburn </w:t>
            </w:r>
          </w:p>
        </w:tc>
        <w:tc>
          <w:tcPr>
            <w:tcW w:w="321" w:type="pct"/>
            <w:shd w:val="clear" w:color="auto" w:fill="auto"/>
            <w:hideMark/>
          </w:tcPr>
          <w:p w14:paraId="39B646AB" w14:textId="77777777" w:rsidR="00931F10" w:rsidRPr="00D77DA8" w:rsidRDefault="00931F10" w:rsidP="00C83E0B">
            <w:pPr>
              <w:pStyle w:val="DHHStabletext9pt"/>
              <w:rPr>
                <w:color w:val="000000"/>
              </w:rPr>
            </w:pPr>
            <w:r w:rsidRPr="00D77DA8">
              <w:rPr>
                <w:color w:val="000000"/>
              </w:rPr>
              <w:t>East</w:t>
            </w:r>
          </w:p>
        </w:tc>
        <w:tc>
          <w:tcPr>
            <w:tcW w:w="345" w:type="pct"/>
            <w:shd w:val="clear" w:color="auto" w:fill="auto"/>
            <w:hideMark/>
          </w:tcPr>
          <w:p w14:paraId="20C1E15E" w14:textId="77777777" w:rsidR="00931F10" w:rsidRPr="00D77DA8" w:rsidRDefault="00931F10" w:rsidP="00C83E0B">
            <w:pPr>
              <w:pStyle w:val="DHHStabletext9pt"/>
              <w:rPr>
                <w:color w:val="000000"/>
              </w:rPr>
            </w:pPr>
            <w:r w:rsidRPr="00D77DA8">
              <w:rPr>
                <w:color w:val="000000"/>
              </w:rPr>
              <w:t xml:space="preserve">Goulburn </w:t>
            </w:r>
          </w:p>
        </w:tc>
        <w:tc>
          <w:tcPr>
            <w:tcW w:w="330" w:type="pct"/>
            <w:shd w:val="clear" w:color="auto" w:fill="auto"/>
            <w:hideMark/>
          </w:tcPr>
          <w:p w14:paraId="48EFA56B" w14:textId="77777777" w:rsidR="00931F10" w:rsidRPr="00D77DA8" w:rsidRDefault="00931F10" w:rsidP="00C83E0B">
            <w:pPr>
              <w:pStyle w:val="DHHStabletext9pt"/>
              <w:rPr>
                <w:color w:val="000000"/>
              </w:rPr>
            </w:pPr>
            <w:r w:rsidRPr="00942CEE">
              <w:rPr>
                <w:color w:val="000000"/>
              </w:rPr>
              <w:t>Primary Care Connect</w:t>
            </w:r>
          </w:p>
        </w:tc>
        <w:tc>
          <w:tcPr>
            <w:tcW w:w="301" w:type="pct"/>
            <w:shd w:val="clear" w:color="auto" w:fill="auto"/>
            <w:hideMark/>
          </w:tcPr>
          <w:p w14:paraId="2CA9E4A5" w14:textId="77777777" w:rsidR="00931F10" w:rsidRPr="00D77DA8" w:rsidRDefault="00931F10" w:rsidP="00C83E0B">
            <w:pPr>
              <w:pStyle w:val="DHHStabletext9pt"/>
              <w:rPr>
                <w:color w:val="000000"/>
              </w:rPr>
            </w:pPr>
            <w:r w:rsidRPr="00D77DA8">
              <w:rPr>
                <w:color w:val="000000"/>
              </w:rPr>
              <w:t>Goulburn Health</w:t>
            </w:r>
          </w:p>
        </w:tc>
        <w:tc>
          <w:tcPr>
            <w:tcW w:w="410" w:type="pct"/>
            <w:shd w:val="clear" w:color="auto" w:fill="auto"/>
            <w:hideMark/>
          </w:tcPr>
          <w:p w14:paraId="0CB56191" w14:textId="77777777" w:rsidR="00931F10" w:rsidRPr="00D77DA8" w:rsidRDefault="00931F10" w:rsidP="00C83E0B">
            <w:pPr>
              <w:pStyle w:val="DHHStabletext9pt"/>
              <w:rPr>
                <w:color w:val="000000"/>
              </w:rPr>
            </w:pPr>
            <w:r w:rsidRPr="00D77DA8">
              <w:rPr>
                <w:color w:val="000000"/>
              </w:rPr>
              <w:t>Hume - Goulburn Valley Health</w:t>
            </w:r>
          </w:p>
        </w:tc>
        <w:tc>
          <w:tcPr>
            <w:tcW w:w="373" w:type="pct"/>
            <w:shd w:val="clear" w:color="auto" w:fill="auto"/>
            <w:hideMark/>
          </w:tcPr>
          <w:p w14:paraId="256CA010" w14:textId="77777777" w:rsidR="00931F10" w:rsidRPr="00D77DA8" w:rsidRDefault="00931F10" w:rsidP="00C83E0B">
            <w:pPr>
              <w:pStyle w:val="DHHStabletext9pt"/>
              <w:rPr>
                <w:color w:val="000000"/>
              </w:rPr>
            </w:pPr>
            <w:r w:rsidRPr="00D77DA8">
              <w:rPr>
                <w:color w:val="000000"/>
              </w:rPr>
              <w:t>Yes</w:t>
            </w:r>
          </w:p>
        </w:tc>
      </w:tr>
      <w:tr w:rsidR="00C83E0B" w:rsidRPr="003A1EF9" w14:paraId="07981265" w14:textId="77777777" w:rsidTr="00856F51">
        <w:trPr>
          <w:trHeight w:val="818"/>
        </w:trPr>
        <w:tc>
          <w:tcPr>
            <w:tcW w:w="383" w:type="pct"/>
            <w:shd w:val="clear" w:color="auto" w:fill="auto"/>
            <w:hideMark/>
          </w:tcPr>
          <w:p w14:paraId="26E681AE" w14:textId="77777777" w:rsidR="00931F10" w:rsidRPr="00432ACB" w:rsidRDefault="00931F10" w:rsidP="00C83E0B">
            <w:pPr>
              <w:pStyle w:val="DHHStabletext9pt"/>
            </w:pPr>
            <w:r w:rsidRPr="00432ACB">
              <w:t>Murrindindi Shire</w:t>
            </w:r>
          </w:p>
        </w:tc>
        <w:tc>
          <w:tcPr>
            <w:tcW w:w="2209" w:type="pct"/>
            <w:shd w:val="clear" w:color="auto" w:fill="auto"/>
            <w:hideMark/>
          </w:tcPr>
          <w:p w14:paraId="7409AD59" w14:textId="77777777" w:rsidR="00931F10" w:rsidRPr="00D77DA8" w:rsidRDefault="00931F10" w:rsidP="00C83E0B">
            <w:pPr>
              <w:pStyle w:val="DHHStabletext9pt"/>
            </w:pPr>
            <w:r w:rsidRPr="00D77DA8">
              <w:t xml:space="preserve"> Marysville, Narbethong</w:t>
            </w:r>
          </w:p>
        </w:tc>
        <w:tc>
          <w:tcPr>
            <w:tcW w:w="328" w:type="pct"/>
            <w:shd w:val="clear" w:color="auto" w:fill="auto"/>
            <w:hideMark/>
          </w:tcPr>
          <w:p w14:paraId="324C37ED" w14:textId="77777777" w:rsidR="00931F10" w:rsidRPr="00D77DA8" w:rsidRDefault="00931F10" w:rsidP="00C83E0B">
            <w:pPr>
              <w:pStyle w:val="DHHStabletext9pt"/>
              <w:rPr>
                <w:color w:val="000000"/>
              </w:rPr>
            </w:pPr>
            <w:r w:rsidRPr="00D77DA8">
              <w:rPr>
                <w:color w:val="000000"/>
              </w:rPr>
              <w:t xml:space="preserve">Goulburn </w:t>
            </w:r>
          </w:p>
        </w:tc>
        <w:tc>
          <w:tcPr>
            <w:tcW w:w="321" w:type="pct"/>
            <w:shd w:val="clear" w:color="auto" w:fill="auto"/>
            <w:hideMark/>
          </w:tcPr>
          <w:p w14:paraId="310A5E08" w14:textId="77777777" w:rsidR="00931F10" w:rsidRPr="00D77DA8" w:rsidRDefault="00931F10" w:rsidP="00C83E0B">
            <w:pPr>
              <w:pStyle w:val="DHHStabletext9pt"/>
              <w:rPr>
                <w:color w:val="000000"/>
              </w:rPr>
            </w:pPr>
            <w:r w:rsidRPr="00D77DA8">
              <w:rPr>
                <w:color w:val="000000"/>
              </w:rPr>
              <w:t>East</w:t>
            </w:r>
          </w:p>
        </w:tc>
        <w:tc>
          <w:tcPr>
            <w:tcW w:w="345" w:type="pct"/>
            <w:shd w:val="clear" w:color="auto" w:fill="auto"/>
            <w:hideMark/>
          </w:tcPr>
          <w:p w14:paraId="75C63810" w14:textId="77777777" w:rsidR="00931F10" w:rsidRPr="00D77DA8" w:rsidRDefault="00931F10" w:rsidP="00C83E0B">
            <w:pPr>
              <w:pStyle w:val="DHHStabletext9pt"/>
              <w:rPr>
                <w:color w:val="000000"/>
              </w:rPr>
            </w:pPr>
            <w:r w:rsidRPr="00D77DA8">
              <w:rPr>
                <w:color w:val="000000"/>
              </w:rPr>
              <w:t xml:space="preserve">Goulburn </w:t>
            </w:r>
          </w:p>
        </w:tc>
        <w:tc>
          <w:tcPr>
            <w:tcW w:w="330" w:type="pct"/>
            <w:shd w:val="clear" w:color="auto" w:fill="auto"/>
            <w:hideMark/>
          </w:tcPr>
          <w:p w14:paraId="5061B1E0" w14:textId="77777777" w:rsidR="00931F10" w:rsidRPr="00D77DA8" w:rsidRDefault="00931F10" w:rsidP="00C83E0B">
            <w:pPr>
              <w:pStyle w:val="DHHStabletext9pt"/>
              <w:rPr>
                <w:color w:val="000000"/>
              </w:rPr>
            </w:pPr>
            <w:r w:rsidRPr="00D77DA8">
              <w:rPr>
                <w:color w:val="000000"/>
              </w:rPr>
              <w:t>Primary Care Connect</w:t>
            </w:r>
          </w:p>
        </w:tc>
        <w:tc>
          <w:tcPr>
            <w:tcW w:w="301" w:type="pct"/>
            <w:shd w:val="clear" w:color="auto" w:fill="auto"/>
            <w:hideMark/>
          </w:tcPr>
          <w:p w14:paraId="4EF1C626" w14:textId="77777777" w:rsidR="00931F10" w:rsidRPr="00D77DA8" w:rsidRDefault="00931F10" w:rsidP="00C83E0B">
            <w:pPr>
              <w:pStyle w:val="DHHStabletext9pt"/>
              <w:rPr>
                <w:color w:val="000000"/>
              </w:rPr>
            </w:pPr>
            <w:r w:rsidRPr="00D77DA8">
              <w:rPr>
                <w:color w:val="000000"/>
              </w:rPr>
              <w:t>NEPHU</w:t>
            </w:r>
          </w:p>
        </w:tc>
        <w:tc>
          <w:tcPr>
            <w:tcW w:w="410" w:type="pct"/>
            <w:shd w:val="clear" w:color="auto" w:fill="auto"/>
            <w:hideMark/>
          </w:tcPr>
          <w:p w14:paraId="2C4B8F99" w14:textId="77777777" w:rsidR="00931F10" w:rsidRPr="00D77DA8" w:rsidRDefault="00931F10" w:rsidP="00C83E0B">
            <w:pPr>
              <w:pStyle w:val="DHHStabletext9pt"/>
              <w:rPr>
                <w:color w:val="000000"/>
              </w:rPr>
            </w:pPr>
            <w:r w:rsidRPr="00D77DA8">
              <w:rPr>
                <w:color w:val="000000"/>
              </w:rPr>
              <w:t>Hume - Goulburn Valley Health</w:t>
            </w:r>
          </w:p>
        </w:tc>
        <w:tc>
          <w:tcPr>
            <w:tcW w:w="373" w:type="pct"/>
            <w:shd w:val="clear" w:color="auto" w:fill="auto"/>
            <w:hideMark/>
          </w:tcPr>
          <w:p w14:paraId="69D0BAB8" w14:textId="77777777" w:rsidR="00931F10" w:rsidRPr="00D77DA8" w:rsidRDefault="00931F10" w:rsidP="00C83E0B">
            <w:pPr>
              <w:pStyle w:val="DHHStabletext9pt"/>
              <w:rPr>
                <w:color w:val="000000"/>
              </w:rPr>
            </w:pPr>
            <w:r w:rsidRPr="00D77DA8">
              <w:rPr>
                <w:color w:val="000000"/>
              </w:rPr>
              <w:t>Yes</w:t>
            </w:r>
          </w:p>
        </w:tc>
      </w:tr>
      <w:tr w:rsidR="00C83E0B" w:rsidRPr="003A1EF9" w14:paraId="57634E3A" w14:textId="77777777" w:rsidTr="00856F51">
        <w:trPr>
          <w:trHeight w:val="816"/>
        </w:trPr>
        <w:tc>
          <w:tcPr>
            <w:tcW w:w="383" w:type="pct"/>
            <w:hideMark/>
          </w:tcPr>
          <w:p w14:paraId="70064F3B" w14:textId="77777777" w:rsidR="00931F10" w:rsidRPr="00D77DA8" w:rsidRDefault="00931F10" w:rsidP="00C83E0B">
            <w:pPr>
              <w:pStyle w:val="DHHStabletext9pt"/>
            </w:pPr>
            <w:r w:rsidRPr="00D77DA8">
              <w:lastRenderedPageBreak/>
              <w:t>Nillumbik Shire</w:t>
            </w:r>
          </w:p>
        </w:tc>
        <w:tc>
          <w:tcPr>
            <w:tcW w:w="2209" w:type="pct"/>
            <w:hideMark/>
          </w:tcPr>
          <w:p w14:paraId="3D1A8085" w14:textId="77777777" w:rsidR="00931F10" w:rsidRPr="00D77DA8" w:rsidRDefault="00931F10" w:rsidP="00C83E0B">
            <w:pPr>
              <w:pStyle w:val="DHHStabletext9pt"/>
              <w:rPr>
                <w:color w:val="000000"/>
              </w:rPr>
            </w:pPr>
            <w:r w:rsidRPr="00D77DA8">
              <w:rPr>
                <w:color w:val="000000"/>
              </w:rPr>
              <w:t>Eltham, Diamond Creek, Arthurs Creek, Bend Of Islands, Christmas Hills, Cottles Bridge, Doreen (Parts), Kangaroo Ground, Panton Hill, Kinglake (Parts), Kinglake West (Parts), North Warrandyte, Nutfield, Plenty, Research, Smiths Gully, Research, Strathewen, Watsons Creek, Wattle Glen, Yan Yean, Yarrambat.</w:t>
            </w:r>
          </w:p>
        </w:tc>
        <w:tc>
          <w:tcPr>
            <w:tcW w:w="328" w:type="pct"/>
            <w:hideMark/>
          </w:tcPr>
          <w:p w14:paraId="3CC15259" w14:textId="77777777" w:rsidR="00931F10" w:rsidRPr="00D77DA8" w:rsidRDefault="00931F10" w:rsidP="00C83E0B">
            <w:pPr>
              <w:pStyle w:val="DHHStabletext9pt"/>
              <w:rPr>
                <w:color w:val="000000"/>
              </w:rPr>
            </w:pPr>
            <w:r w:rsidRPr="00D77DA8">
              <w:rPr>
                <w:color w:val="000000"/>
              </w:rPr>
              <w:t xml:space="preserve">North East Melbourne </w:t>
            </w:r>
          </w:p>
        </w:tc>
        <w:tc>
          <w:tcPr>
            <w:tcW w:w="321" w:type="pct"/>
            <w:hideMark/>
          </w:tcPr>
          <w:p w14:paraId="5F80E69D"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6F1BFD68" w14:textId="77777777" w:rsidR="00931F10" w:rsidRPr="00D77DA8" w:rsidRDefault="00931F10" w:rsidP="00C83E0B">
            <w:pPr>
              <w:pStyle w:val="DHHStabletext9pt"/>
              <w:rPr>
                <w:color w:val="000000"/>
              </w:rPr>
            </w:pPr>
            <w:r w:rsidRPr="00D77DA8">
              <w:rPr>
                <w:color w:val="000000"/>
              </w:rPr>
              <w:t>North East Melborne</w:t>
            </w:r>
          </w:p>
        </w:tc>
        <w:tc>
          <w:tcPr>
            <w:tcW w:w="330" w:type="pct"/>
            <w:hideMark/>
          </w:tcPr>
          <w:p w14:paraId="1FD57FF6" w14:textId="77777777" w:rsidR="00931F10" w:rsidRPr="00D77DA8" w:rsidRDefault="00931F10" w:rsidP="00C83E0B">
            <w:pPr>
              <w:pStyle w:val="DHHStabletext9pt"/>
              <w:rPr>
                <w:color w:val="000000"/>
              </w:rPr>
            </w:pPr>
            <w:r w:rsidRPr="00497045">
              <w:rPr>
                <w:color w:val="000000"/>
              </w:rPr>
              <w:t>DPV Health</w:t>
            </w:r>
          </w:p>
        </w:tc>
        <w:tc>
          <w:tcPr>
            <w:tcW w:w="301" w:type="pct"/>
            <w:hideMark/>
          </w:tcPr>
          <w:p w14:paraId="5C9AB989" w14:textId="77777777" w:rsidR="00931F10" w:rsidRPr="00D77DA8" w:rsidRDefault="00931F10" w:rsidP="00C83E0B">
            <w:pPr>
              <w:pStyle w:val="DHHStabletext9pt"/>
              <w:rPr>
                <w:color w:val="000000"/>
              </w:rPr>
            </w:pPr>
            <w:r w:rsidRPr="00D77DA8">
              <w:rPr>
                <w:color w:val="000000"/>
              </w:rPr>
              <w:t>NEPHU</w:t>
            </w:r>
          </w:p>
        </w:tc>
        <w:tc>
          <w:tcPr>
            <w:tcW w:w="410" w:type="pct"/>
            <w:hideMark/>
          </w:tcPr>
          <w:p w14:paraId="36CCAD50"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hideMark/>
          </w:tcPr>
          <w:p w14:paraId="6521A928" w14:textId="77777777" w:rsidR="00931F10" w:rsidRPr="00D77DA8" w:rsidRDefault="00931F10" w:rsidP="00C83E0B">
            <w:pPr>
              <w:pStyle w:val="DHHStabletext9pt"/>
              <w:rPr>
                <w:color w:val="000000"/>
              </w:rPr>
            </w:pPr>
            <w:r w:rsidRPr="00D77DA8">
              <w:rPr>
                <w:color w:val="000000"/>
              </w:rPr>
              <w:t>Yes</w:t>
            </w:r>
          </w:p>
        </w:tc>
      </w:tr>
      <w:tr w:rsidR="00C83E0B" w:rsidRPr="003A1EF9" w14:paraId="28042477" w14:textId="77777777" w:rsidTr="00856F51">
        <w:trPr>
          <w:trHeight w:val="2752"/>
        </w:trPr>
        <w:tc>
          <w:tcPr>
            <w:tcW w:w="383" w:type="pct"/>
            <w:hideMark/>
          </w:tcPr>
          <w:p w14:paraId="17BCFA17" w14:textId="77777777" w:rsidR="00931F10" w:rsidRPr="00D77DA8" w:rsidRDefault="00931F10" w:rsidP="00C83E0B">
            <w:pPr>
              <w:pStyle w:val="DHHStabletext9pt"/>
            </w:pPr>
            <w:r w:rsidRPr="00D77DA8">
              <w:t>Northern Grampians Shire</w:t>
            </w:r>
          </w:p>
        </w:tc>
        <w:tc>
          <w:tcPr>
            <w:tcW w:w="2209" w:type="pct"/>
            <w:hideMark/>
          </w:tcPr>
          <w:p w14:paraId="47D2F0DD" w14:textId="77777777" w:rsidR="00931F10" w:rsidRPr="00D77DA8" w:rsidRDefault="00931F10" w:rsidP="00C83E0B">
            <w:pPr>
              <w:pStyle w:val="DHHStabletext9pt"/>
              <w:rPr>
                <w:color w:val="000000"/>
              </w:rPr>
            </w:pPr>
            <w:r w:rsidRPr="00D77DA8">
              <w:rPr>
                <w:color w:val="000000"/>
              </w:rPr>
              <w:t>Archdale; Archdale Junction; Avon Plains; Banyena; Barkly; Beazleys Bridge; Bellellen; Bellfield (Grampians); Black Range; Bolangum; Brimpaen; Bulgana; Callawadda; Campbells Bridge; Carapooee; Carapooee West; Cherrypool; Concongella; Coonooer Bridge; Coonooer West; Cope Cope; Crowlands; Dadswells Bridge; Dalyenong; Deep Lead; Dunneworthy; Emu; Fyans Creek; Germania; Glenisla; Glenorchy; Gooroc; Gowar East; Grays Bridge; Gre Gre; Gre Gre North; Gre Gre South; Great Western; Greens Creek; Halls Gap; Illawarra; Joel Joel; Joel South; Kanya; Kooreh; Laen; Laharum; Lake Fyans; Lake Lonsdale; Landsborough West; Ledcourt; Logan; Lubeck; Marnoo; Marnoo East; Marnoo West; Mokepilly; Moolerr; Morrl Morrl; Mount Dryden; Moyreisk; Natte Yallock; Navarre; Paradise; Pomonal; Redbank; Riachella; Rich Avon East; Rich Avon West; Roses Gap; Rostron; Rupanyup; Shays Flat; Slaty Creek; St Arnaud; St Arnaud East; St Arnaud North; Stawell; Stuart Mill; Sutherland; Swanwater; Swanwater West; Tottington; Traynors Lagoon; Tulkara; Wal Wal; Wallaloo; Wallaloo East; Wartook; Wattle Creek; Winjallok; York Plains; Zumsteins</w:t>
            </w:r>
          </w:p>
        </w:tc>
        <w:tc>
          <w:tcPr>
            <w:tcW w:w="328" w:type="pct"/>
            <w:hideMark/>
          </w:tcPr>
          <w:p w14:paraId="026F2415" w14:textId="77777777" w:rsidR="00931F10" w:rsidRPr="00D77DA8" w:rsidRDefault="00931F10" w:rsidP="00C83E0B">
            <w:pPr>
              <w:pStyle w:val="DHHStabletext9pt"/>
              <w:rPr>
                <w:color w:val="000000"/>
              </w:rPr>
            </w:pPr>
            <w:r w:rsidRPr="00D77DA8">
              <w:rPr>
                <w:color w:val="000000"/>
              </w:rPr>
              <w:t>Wimmera South West</w:t>
            </w:r>
          </w:p>
        </w:tc>
        <w:tc>
          <w:tcPr>
            <w:tcW w:w="321" w:type="pct"/>
            <w:hideMark/>
          </w:tcPr>
          <w:p w14:paraId="7CC7EC47"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1CC057E8" w14:textId="77777777" w:rsidR="00931F10" w:rsidRPr="00D77DA8" w:rsidRDefault="00931F10" w:rsidP="00C83E0B">
            <w:pPr>
              <w:pStyle w:val="DHHStabletext9pt"/>
              <w:rPr>
                <w:color w:val="000000"/>
              </w:rPr>
            </w:pPr>
            <w:r w:rsidRPr="00D77DA8">
              <w:rPr>
                <w:color w:val="000000"/>
              </w:rPr>
              <w:t>WSW - Wimmera</w:t>
            </w:r>
          </w:p>
        </w:tc>
        <w:tc>
          <w:tcPr>
            <w:tcW w:w="330" w:type="pct"/>
            <w:hideMark/>
          </w:tcPr>
          <w:p w14:paraId="19F93048" w14:textId="77777777" w:rsidR="00931F10" w:rsidRPr="00D77DA8" w:rsidRDefault="00931F10" w:rsidP="00C83E0B">
            <w:pPr>
              <w:pStyle w:val="DHHStabletext9pt"/>
              <w:rPr>
                <w:color w:val="000000"/>
              </w:rPr>
            </w:pPr>
            <w:r w:rsidRPr="00B76EB9">
              <w:rPr>
                <w:color w:val="000000"/>
              </w:rPr>
              <w:t>Grampians Community Health</w:t>
            </w:r>
          </w:p>
        </w:tc>
        <w:tc>
          <w:tcPr>
            <w:tcW w:w="301" w:type="pct"/>
            <w:hideMark/>
          </w:tcPr>
          <w:p w14:paraId="07BDFB33"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1E5A7A1E"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100B9948" w14:textId="77777777" w:rsidR="00931F10" w:rsidRPr="00D77DA8" w:rsidRDefault="00931F10" w:rsidP="00C83E0B">
            <w:pPr>
              <w:pStyle w:val="DHHStabletext9pt"/>
              <w:rPr>
                <w:color w:val="000000"/>
              </w:rPr>
            </w:pPr>
            <w:r w:rsidRPr="00D77DA8">
              <w:rPr>
                <w:color w:val="000000"/>
              </w:rPr>
              <w:t>Yes</w:t>
            </w:r>
          </w:p>
        </w:tc>
      </w:tr>
      <w:tr w:rsidR="00C83E0B" w:rsidRPr="003A1EF9" w14:paraId="325C712E" w14:textId="77777777" w:rsidTr="00856F51">
        <w:trPr>
          <w:trHeight w:val="900"/>
        </w:trPr>
        <w:tc>
          <w:tcPr>
            <w:tcW w:w="383" w:type="pct"/>
            <w:hideMark/>
          </w:tcPr>
          <w:p w14:paraId="41F7C3BE" w14:textId="77777777" w:rsidR="00931F10" w:rsidRPr="00D77DA8" w:rsidRDefault="00931F10" w:rsidP="00C83E0B">
            <w:pPr>
              <w:pStyle w:val="DHHStabletext9pt"/>
            </w:pPr>
            <w:r w:rsidRPr="00D77DA8">
              <w:t>Port Phillip City</w:t>
            </w:r>
          </w:p>
        </w:tc>
        <w:tc>
          <w:tcPr>
            <w:tcW w:w="2209" w:type="pct"/>
            <w:hideMark/>
          </w:tcPr>
          <w:p w14:paraId="591D3A0C" w14:textId="77777777" w:rsidR="00931F10" w:rsidRPr="00D77DA8" w:rsidRDefault="00931F10" w:rsidP="00C83E0B">
            <w:pPr>
              <w:pStyle w:val="DHHStabletext9pt"/>
              <w:rPr>
                <w:color w:val="000000"/>
              </w:rPr>
            </w:pPr>
            <w:r w:rsidRPr="00D77DA8">
              <w:rPr>
                <w:color w:val="000000"/>
              </w:rPr>
              <w:t>Albert Park, Balaclava, Elwood, Garden City, Melbourne, Middle Park, Port Melbourne, Ripponlea, South Melbourne, Southbank, St Kilda, St Kilda East, St Kilda West And Windsor</w:t>
            </w:r>
          </w:p>
        </w:tc>
        <w:tc>
          <w:tcPr>
            <w:tcW w:w="328" w:type="pct"/>
            <w:hideMark/>
          </w:tcPr>
          <w:p w14:paraId="5148B906" w14:textId="77777777" w:rsidR="00931F10" w:rsidRPr="00D77DA8" w:rsidRDefault="00931F10" w:rsidP="00C83E0B">
            <w:pPr>
              <w:pStyle w:val="DHHStabletext9pt"/>
              <w:rPr>
                <w:color w:val="000000"/>
              </w:rPr>
            </w:pPr>
            <w:r w:rsidRPr="00D77DA8">
              <w:rPr>
                <w:color w:val="000000"/>
              </w:rPr>
              <w:t>Bayside Peninsula Area (BPA)</w:t>
            </w:r>
          </w:p>
        </w:tc>
        <w:tc>
          <w:tcPr>
            <w:tcW w:w="321" w:type="pct"/>
            <w:hideMark/>
          </w:tcPr>
          <w:p w14:paraId="6DEEECC6"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01FE60B8" w14:textId="77777777" w:rsidR="00931F10" w:rsidRPr="00D77DA8" w:rsidRDefault="00931F10" w:rsidP="00C83E0B">
            <w:pPr>
              <w:pStyle w:val="DHHStabletext9pt"/>
              <w:rPr>
                <w:color w:val="000000"/>
              </w:rPr>
            </w:pPr>
            <w:r w:rsidRPr="00D77DA8">
              <w:rPr>
                <w:color w:val="000000"/>
              </w:rPr>
              <w:t>Port Phillip</w:t>
            </w:r>
          </w:p>
        </w:tc>
        <w:tc>
          <w:tcPr>
            <w:tcW w:w="330" w:type="pct"/>
            <w:hideMark/>
          </w:tcPr>
          <w:p w14:paraId="16D11ED4" w14:textId="77777777" w:rsidR="00931F10" w:rsidRPr="00D77DA8" w:rsidRDefault="00931F10" w:rsidP="00C83E0B">
            <w:pPr>
              <w:pStyle w:val="DHHStabletext9pt"/>
              <w:rPr>
                <w:color w:val="000000"/>
              </w:rPr>
            </w:pPr>
            <w:r w:rsidRPr="00B76EB9">
              <w:rPr>
                <w:color w:val="000000"/>
              </w:rPr>
              <w:t>Star Health</w:t>
            </w:r>
          </w:p>
        </w:tc>
        <w:tc>
          <w:tcPr>
            <w:tcW w:w="301" w:type="pct"/>
            <w:hideMark/>
          </w:tcPr>
          <w:p w14:paraId="6F987665"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4702E731" w14:textId="77777777" w:rsidR="00931F10" w:rsidRPr="00D77DA8" w:rsidRDefault="00931F10" w:rsidP="00C83E0B">
            <w:pPr>
              <w:pStyle w:val="DHHStabletext9pt"/>
              <w:rPr>
                <w:color w:val="000000"/>
              </w:rPr>
            </w:pPr>
            <w:r w:rsidRPr="00D77DA8">
              <w:rPr>
                <w:color w:val="000000"/>
              </w:rPr>
              <w:t>South Metro - Lead - Alfred Health</w:t>
            </w:r>
          </w:p>
        </w:tc>
        <w:tc>
          <w:tcPr>
            <w:tcW w:w="373" w:type="pct"/>
            <w:hideMark/>
          </w:tcPr>
          <w:p w14:paraId="556C2F39" w14:textId="77777777" w:rsidR="00931F10" w:rsidRPr="00D77DA8" w:rsidRDefault="00931F10" w:rsidP="00C83E0B">
            <w:pPr>
              <w:pStyle w:val="DHHStabletext9pt"/>
              <w:rPr>
                <w:color w:val="000000"/>
              </w:rPr>
            </w:pPr>
          </w:p>
        </w:tc>
      </w:tr>
      <w:tr w:rsidR="00C83E0B" w:rsidRPr="003A1EF9" w14:paraId="503269E4" w14:textId="77777777" w:rsidTr="00856F51">
        <w:trPr>
          <w:trHeight w:val="1854"/>
        </w:trPr>
        <w:tc>
          <w:tcPr>
            <w:tcW w:w="383" w:type="pct"/>
            <w:hideMark/>
          </w:tcPr>
          <w:p w14:paraId="1F6EB287" w14:textId="77777777" w:rsidR="00931F10" w:rsidRPr="00D77DA8" w:rsidRDefault="00931F10" w:rsidP="00C83E0B">
            <w:pPr>
              <w:pStyle w:val="DHHStabletext9pt"/>
            </w:pPr>
            <w:r w:rsidRPr="00D77DA8">
              <w:t>Pyrenees Shire</w:t>
            </w:r>
          </w:p>
        </w:tc>
        <w:tc>
          <w:tcPr>
            <w:tcW w:w="2209" w:type="pct"/>
            <w:hideMark/>
          </w:tcPr>
          <w:p w14:paraId="74C39D16" w14:textId="77777777" w:rsidR="00931F10" w:rsidRPr="00D77DA8" w:rsidRDefault="00931F10" w:rsidP="00C83E0B">
            <w:pPr>
              <w:pStyle w:val="DHHStabletext9pt"/>
              <w:rPr>
                <w:color w:val="000000"/>
              </w:rPr>
            </w:pPr>
            <w:r w:rsidRPr="00D77DA8">
              <w:rPr>
                <w:color w:val="000000"/>
              </w:rPr>
              <w:t>Amphitheatre; Avoca; Barkly; Beaufort; Bo Peep; Brewster; Buangor; Bung Bong; Burnbank; Burrumbeet; Carngham; Carranballac; Chepstowe; Chute; Cross Roads; Crowlands; Elmhurst; Ercildoune; Evansford; Eversley; Frenchmans; Glenbrae; Glenlofty; Glenlogie; Glenpatrick; Hillcrest; Homebush; Lake Goldsmith; Lake Wongan; Lamplough; Landsborough; Landsborough West; Langi Kal Kal; Lexton; Lillicur; Linton; Main Lead; Mena Park; Middle Creek; Moonambel; Mount Emu; Mount Lonarch; Natte Yallock; Navarre; Nerring; Nowhere Creek; Percydale; Pittong; Raglan; Rathscar; Rathscar West; Redbank; Shays Flat; Skipton; Smythesdale; Snake Valley; Stockyard Hill; Stoneleigh; Streatham; Tanwood; Trawalla; Wareek; Warrenmang; Waterloo; Wattle Creek; Waubra</w:t>
            </w:r>
          </w:p>
        </w:tc>
        <w:tc>
          <w:tcPr>
            <w:tcW w:w="328" w:type="pct"/>
            <w:hideMark/>
          </w:tcPr>
          <w:p w14:paraId="0F6E501A" w14:textId="77777777" w:rsidR="00931F10" w:rsidRPr="00D77DA8" w:rsidRDefault="00931F10" w:rsidP="00C83E0B">
            <w:pPr>
              <w:pStyle w:val="DHHStabletext9pt"/>
              <w:rPr>
                <w:color w:val="000000"/>
              </w:rPr>
            </w:pPr>
            <w:r w:rsidRPr="00D77DA8">
              <w:rPr>
                <w:color w:val="000000"/>
              </w:rPr>
              <w:t>Central Highlands</w:t>
            </w:r>
          </w:p>
        </w:tc>
        <w:tc>
          <w:tcPr>
            <w:tcW w:w="321" w:type="pct"/>
            <w:hideMark/>
          </w:tcPr>
          <w:p w14:paraId="1603B9B5"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27F81A70" w14:textId="77777777" w:rsidR="00931F10" w:rsidRPr="00D77DA8" w:rsidRDefault="00931F10" w:rsidP="00C83E0B">
            <w:pPr>
              <w:pStyle w:val="DHHStabletext9pt"/>
              <w:rPr>
                <w:color w:val="000000"/>
              </w:rPr>
            </w:pPr>
            <w:r w:rsidRPr="00D77DA8">
              <w:rPr>
                <w:color w:val="000000"/>
              </w:rPr>
              <w:t>Central Highlands</w:t>
            </w:r>
          </w:p>
        </w:tc>
        <w:tc>
          <w:tcPr>
            <w:tcW w:w="330" w:type="pct"/>
            <w:hideMark/>
          </w:tcPr>
          <w:p w14:paraId="741B11AD" w14:textId="77777777" w:rsidR="00931F10" w:rsidRPr="00D77DA8" w:rsidRDefault="00931F10" w:rsidP="00C83E0B">
            <w:pPr>
              <w:pStyle w:val="DHHStabletext9pt"/>
              <w:rPr>
                <w:color w:val="000000"/>
              </w:rPr>
            </w:pPr>
            <w:r w:rsidRPr="00D77DA8">
              <w:rPr>
                <w:color w:val="000000"/>
              </w:rPr>
              <w:t>Ballarat Health Services</w:t>
            </w:r>
          </w:p>
        </w:tc>
        <w:tc>
          <w:tcPr>
            <w:tcW w:w="301" w:type="pct"/>
            <w:hideMark/>
          </w:tcPr>
          <w:p w14:paraId="4D8215A1"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12849E07"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04AF3289" w14:textId="77777777" w:rsidR="00931F10" w:rsidRPr="00D77DA8" w:rsidRDefault="00931F10" w:rsidP="00C83E0B">
            <w:pPr>
              <w:pStyle w:val="DHHStabletext9pt"/>
              <w:rPr>
                <w:color w:val="000000"/>
              </w:rPr>
            </w:pPr>
            <w:r w:rsidRPr="00D77DA8">
              <w:rPr>
                <w:color w:val="000000"/>
              </w:rPr>
              <w:t>Yes</w:t>
            </w:r>
          </w:p>
        </w:tc>
      </w:tr>
      <w:tr w:rsidR="00C83E0B" w:rsidRPr="003A1EF9" w14:paraId="6FAFFA91" w14:textId="77777777" w:rsidTr="00856F51">
        <w:trPr>
          <w:trHeight w:val="2043"/>
        </w:trPr>
        <w:tc>
          <w:tcPr>
            <w:tcW w:w="383" w:type="pct"/>
            <w:hideMark/>
          </w:tcPr>
          <w:p w14:paraId="39152B8B" w14:textId="77777777" w:rsidR="00931F10" w:rsidRPr="00D77DA8" w:rsidRDefault="00931F10" w:rsidP="00C83E0B">
            <w:pPr>
              <w:pStyle w:val="DHHStabletext9pt"/>
            </w:pPr>
            <w:r w:rsidRPr="00D77DA8">
              <w:lastRenderedPageBreak/>
              <w:t>South Gippsland Shire</w:t>
            </w:r>
          </w:p>
        </w:tc>
        <w:tc>
          <w:tcPr>
            <w:tcW w:w="2209" w:type="pct"/>
            <w:hideMark/>
          </w:tcPr>
          <w:p w14:paraId="7C34338E" w14:textId="77777777" w:rsidR="00931F10" w:rsidRPr="00D77DA8" w:rsidRDefault="00931F10" w:rsidP="00C83E0B">
            <w:pPr>
              <w:pStyle w:val="DHHStabletext9pt"/>
              <w:rPr>
                <w:color w:val="000000"/>
              </w:rPr>
            </w:pPr>
            <w:r w:rsidRPr="00D77DA8">
              <w:rPr>
                <w:color w:val="000000"/>
              </w:rPr>
              <w:t>Agnes, Allambee Reserve, Allambee South, Arawata, Baromi, Bena, Bennison, Berrys Creek, Binginwarri, Boolarong, Boolarra, Boolarra South, Boorool, Buffalo, Darlimurla, Delburn, Dollar, Dumbalk, Dumbalk North, Fairbank, Fish Creek, Foster, Foster North, Gunyah, Hallston, Hazel Park, Hedley, Hoddle, Inverloch, Jeetho, Jumbunna, Kardella, Kardella South, Kongwak, Koonwarra, Koorooman, Korumburra, Korumburra South, Krowera, Lang Lang, Leongatha, Leongatha North, Leongatha South, Limonite, Loch, Mardan, Meeniyan, Middle Tarwin, Mirboo, Mirboo East, Mirboo North, Mount Best, Mount Eccles, Mount Eccles South, Mountain View, Moyarra, Nerrena, Nyora, Outtrim, Poowong, Poowong East, Poowong North, Port Franklin, Port Welshpool, Pound Creek, Ranceby, Ruby, Sandy Point, Stony Creek, Strzelecki, Tarwin, Tarwin Lower, Thorpdale, Thorpdale South, Tidal River, Toora, Toora North, Trida, Turtons Creek, Venus Bay, Walkerville, Walkerville South, Waratah Bay, Welshpool, Whitelaw, Wild Dog Valley, Wilsons Promontory, Wonga, Wonyip, Woorarra West And Yanakie</w:t>
            </w:r>
          </w:p>
        </w:tc>
        <w:tc>
          <w:tcPr>
            <w:tcW w:w="328" w:type="pct"/>
            <w:hideMark/>
          </w:tcPr>
          <w:p w14:paraId="79AADA66" w14:textId="77777777" w:rsidR="00931F10" w:rsidRPr="00D77DA8" w:rsidRDefault="00931F10" w:rsidP="00C83E0B">
            <w:pPr>
              <w:pStyle w:val="DHHStabletext9pt"/>
              <w:rPr>
                <w:color w:val="000000"/>
              </w:rPr>
            </w:pPr>
            <w:r w:rsidRPr="00D77DA8">
              <w:rPr>
                <w:color w:val="000000"/>
              </w:rPr>
              <w:t>Inner Gippsland Area (IGA)</w:t>
            </w:r>
          </w:p>
        </w:tc>
        <w:tc>
          <w:tcPr>
            <w:tcW w:w="321" w:type="pct"/>
            <w:hideMark/>
          </w:tcPr>
          <w:p w14:paraId="2A897929"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76F9E857" w14:textId="77777777" w:rsidR="00931F10" w:rsidRPr="00D77DA8" w:rsidRDefault="00931F10" w:rsidP="00C83E0B">
            <w:pPr>
              <w:pStyle w:val="DHHStabletext9pt"/>
              <w:rPr>
                <w:color w:val="000000"/>
              </w:rPr>
            </w:pPr>
            <w:r w:rsidRPr="00D77DA8">
              <w:rPr>
                <w:color w:val="000000"/>
              </w:rPr>
              <w:t xml:space="preserve">Inner Gippsland </w:t>
            </w:r>
          </w:p>
        </w:tc>
        <w:tc>
          <w:tcPr>
            <w:tcW w:w="330" w:type="pct"/>
            <w:hideMark/>
          </w:tcPr>
          <w:p w14:paraId="6C5358A0" w14:textId="77777777" w:rsidR="00931F10" w:rsidRPr="00D77DA8" w:rsidRDefault="00931F10" w:rsidP="00C83E0B">
            <w:pPr>
              <w:pStyle w:val="DHHStabletext9pt"/>
              <w:rPr>
                <w:color w:val="000000"/>
              </w:rPr>
            </w:pPr>
            <w:r w:rsidRPr="003F321A">
              <w:rPr>
                <w:color w:val="000000"/>
              </w:rPr>
              <w:t>La Trobe Community Health Service</w:t>
            </w:r>
          </w:p>
        </w:tc>
        <w:tc>
          <w:tcPr>
            <w:tcW w:w="301" w:type="pct"/>
            <w:hideMark/>
          </w:tcPr>
          <w:p w14:paraId="547BD840" w14:textId="77777777" w:rsidR="00931F10" w:rsidRPr="00D77DA8" w:rsidRDefault="00931F10" w:rsidP="00C83E0B">
            <w:pPr>
              <w:pStyle w:val="DHHStabletext9pt"/>
              <w:rPr>
                <w:color w:val="000000"/>
              </w:rPr>
            </w:pPr>
            <w:r w:rsidRPr="00D77DA8">
              <w:rPr>
                <w:color w:val="000000"/>
              </w:rPr>
              <w:t>La Trobe Health</w:t>
            </w:r>
          </w:p>
        </w:tc>
        <w:tc>
          <w:tcPr>
            <w:tcW w:w="410" w:type="pct"/>
            <w:hideMark/>
          </w:tcPr>
          <w:p w14:paraId="2E23FF45" w14:textId="77777777" w:rsidR="00931F10" w:rsidRPr="00D77DA8" w:rsidRDefault="00931F10" w:rsidP="00C83E0B">
            <w:pPr>
              <w:pStyle w:val="DHHStabletext9pt"/>
              <w:rPr>
                <w:color w:val="000000"/>
              </w:rPr>
            </w:pPr>
            <w:r w:rsidRPr="00D77DA8">
              <w:rPr>
                <w:color w:val="000000"/>
              </w:rPr>
              <w:t>Gippsland - Lead - La Trobe Regional Health</w:t>
            </w:r>
          </w:p>
        </w:tc>
        <w:tc>
          <w:tcPr>
            <w:tcW w:w="373" w:type="pct"/>
            <w:hideMark/>
          </w:tcPr>
          <w:p w14:paraId="3604C2BF" w14:textId="77777777" w:rsidR="00931F10" w:rsidRPr="00D77DA8" w:rsidRDefault="00931F10" w:rsidP="00C83E0B">
            <w:pPr>
              <w:pStyle w:val="DHHStabletext9pt"/>
              <w:rPr>
                <w:color w:val="000000"/>
              </w:rPr>
            </w:pPr>
          </w:p>
        </w:tc>
      </w:tr>
      <w:tr w:rsidR="00C83E0B" w:rsidRPr="003A1EF9" w14:paraId="5A2C7122" w14:textId="77777777" w:rsidTr="00856F51">
        <w:trPr>
          <w:trHeight w:val="1760"/>
        </w:trPr>
        <w:tc>
          <w:tcPr>
            <w:tcW w:w="383" w:type="pct"/>
            <w:hideMark/>
          </w:tcPr>
          <w:p w14:paraId="4D2C7D11" w14:textId="77777777" w:rsidR="00931F10" w:rsidRPr="00D77DA8" w:rsidRDefault="00931F10" w:rsidP="00C83E0B">
            <w:pPr>
              <w:pStyle w:val="DHHStabletext9pt"/>
            </w:pPr>
            <w:r w:rsidRPr="00D77DA8">
              <w:t>Southern Grampians Shire</w:t>
            </w:r>
          </w:p>
        </w:tc>
        <w:tc>
          <w:tcPr>
            <w:tcW w:w="2209" w:type="pct"/>
            <w:hideMark/>
          </w:tcPr>
          <w:p w14:paraId="3EC6E0B3" w14:textId="77777777" w:rsidR="00931F10" w:rsidRPr="00D77DA8" w:rsidRDefault="00931F10" w:rsidP="00C83E0B">
            <w:pPr>
              <w:pStyle w:val="DHHStabletext9pt"/>
              <w:rPr>
                <w:color w:val="000000"/>
              </w:rPr>
            </w:pPr>
            <w:r w:rsidRPr="00D77DA8">
              <w:rPr>
                <w:color w:val="000000"/>
              </w:rPr>
              <w:t>Balmoral; Bellfield (Grampians); Bochara; Branxholme; Brit Brit; Buckley Swamp; Bulart; Byaduk; Byaduk North; Caramut; Carapook; Cavendish; Cherrypool; Clover Flat; Coleraine; Coojar; Croxton East; Culla; Dunkeld; Englefield; Gatum; Gazette; Glenisla; Glenthompson; Grampians; Gringegalgona; Gritjurk; Hamilton; Harrow; Hensley Park; Hilgay; Karabeal; Konongwootong; Melville Forest; Mirranatwa; Mooralla; Morgiana; Mount Napier; Moutajup; Muntham; Nareeb; Nareen; Penshurst; Pigeon Ponds; Purdeet; Rocklands; Strathkellar; Tabor; Tahara; Tarrayoukyan; Tarrenlea; Tarrington; Vasey; Victoria Point; Victoria Valley; Wando Vale; Wannon; Warrayure; Woodhouse; Wootong Vale; Yatchaw; Yulecart</w:t>
            </w:r>
          </w:p>
        </w:tc>
        <w:tc>
          <w:tcPr>
            <w:tcW w:w="328" w:type="pct"/>
            <w:hideMark/>
          </w:tcPr>
          <w:p w14:paraId="6EA6FF9A" w14:textId="77777777" w:rsidR="00931F10" w:rsidRPr="00D77DA8" w:rsidRDefault="00931F10" w:rsidP="00C83E0B">
            <w:pPr>
              <w:pStyle w:val="DHHStabletext9pt"/>
              <w:rPr>
                <w:color w:val="000000"/>
              </w:rPr>
            </w:pPr>
            <w:r w:rsidRPr="00D77DA8">
              <w:rPr>
                <w:color w:val="000000"/>
              </w:rPr>
              <w:t>Wimmera South West</w:t>
            </w:r>
          </w:p>
        </w:tc>
        <w:tc>
          <w:tcPr>
            <w:tcW w:w="321" w:type="pct"/>
            <w:hideMark/>
          </w:tcPr>
          <w:p w14:paraId="17A8A937"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3C70569B" w14:textId="77777777" w:rsidR="00931F10" w:rsidRPr="00D77DA8" w:rsidRDefault="00931F10" w:rsidP="00C83E0B">
            <w:pPr>
              <w:pStyle w:val="DHHStabletext9pt"/>
              <w:rPr>
                <w:color w:val="000000"/>
              </w:rPr>
            </w:pPr>
            <w:r w:rsidRPr="00D77DA8">
              <w:rPr>
                <w:color w:val="000000"/>
              </w:rPr>
              <w:t>WSW - South West</w:t>
            </w:r>
          </w:p>
        </w:tc>
        <w:tc>
          <w:tcPr>
            <w:tcW w:w="330" w:type="pct"/>
            <w:hideMark/>
          </w:tcPr>
          <w:p w14:paraId="3CB757EB" w14:textId="77777777" w:rsidR="00931F10" w:rsidRPr="00D77DA8" w:rsidRDefault="00931F10" w:rsidP="00C83E0B">
            <w:pPr>
              <w:pStyle w:val="DHHStabletext9pt"/>
              <w:rPr>
                <w:color w:val="000000"/>
              </w:rPr>
            </w:pPr>
            <w:r w:rsidRPr="003F321A">
              <w:rPr>
                <w:color w:val="000000"/>
              </w:rPr>
              <w:t>South West Health Care</w:t>
            </w:r>
          </w:p>
        </w:tc>
        <w:tc>
          <w:tcPr>
            <w:tcW w:w="301" w:type="pct"/>
            <w:hideMark/>
          </w:tcPr>
          <w:p w14:paraId="60B4A384"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0CF1F44B"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3935A5F5" w14:textId="77777777" w:rsidR="00931F10" w:rsidRPr="00D77DA8" w:rsidRDefault="00931F10" w:rsidP="00C83E0B">
            <w:pPr>
              <w:pStyle w:val="DHHStabletext9pt"/>
              <w:rPr>
                <w:color w:val="000000"/>
              </w:rPr>
            </w:pPr>
          </w:p>
        </w:tc>
      </w:tr>
      <w:tr w:rsidR="00C83E0B" w:rsidRPr="003A1EF9" w14:paraId="08C965E9" w14:textId="77777777" w:rsidTr="00856F51">
        <w:trPr>
          <w:trHeight w:val="948"/>
        </w:trPr>
        <w:tc>
          <w:tcPr>
            <w:tcW w:w="383" w:type="pct"/>
            <w:hideMark/>
          </w:tcPr>
          <w:p w14:paraId="75FD09FA" w14:textId="77777777" w:rsidR="00931F10" w:rsidRPr="00D77DA8" w:rsidRDefault="00931F10" w:rsidP="00C83E0B">
            <w:pPr>
              <w:pStyle w:val="DHHStabletext9pt"/>
            </w:pPr>
            <w:r w:rsidRPr="00D77DA8">
              <w:t>Stonnington City</w:t>
            </w:r>
          </w:p>
        </w:tc>
        <w:tc>
          <w:tcPr>
            <w:tcW w:w="2209" w:type="pct"/>
            <w:hideMark/>
          </w:tcPr>
          <w:p w14:paraId="0774B9DA" w14:textId="77777777" w:rsidR="00931F10" w:rsidRPr="00D77DA8" w:rsidRDefault="00931F10" w:rsidP="00C83E0B">
            <w:pPr>
              <w:pStyle w:val="DHHStabletext9pt"/>
              <w:rPr>
                <w:color w:val="000000"/>
              </w:rPr>
            </w:pPr>
            <w:r w:rsidRPr="00D77DA8">
              <w:rPr>
                <w:color w:val="000000"/>
              </w:rPr>
              <w:t>Armadale, Glen Iris, Hawksburn, Kooyong, Malvern, Malvern East, Prahran, South Yarra, Toorak And Windsor</w:t>
            </w:r>
          </w:p>
        </w:tc>
        <w:tc>
          <w:tcPr>
            <w:tcW w:w="328" w:type="pct"/>
            <w:hideMark/>
          </w:tcPr>
          <w:p w14:paraId="240AA7C1" w14:textId="77777777" w:rsidR="00931F10" w:rsidRPr="00D77DA8" w:rsidRDefault="00931F10" w:rsidP="00C83E0B">
            <w:pPr>
              <w:pStyle w:val="DHHStabletext9pt"/>
              <w:rPr>
                <w:color w:val="000000"/>
              </w:rPr>
            </w:pPr>
            <w:r w:rsidRPr="00D77DA8">
              <w:rPr>
                <w:color w:val="000000"/>
              </w:rPr>
              <w:t>Bayside Peninsula Area (BPA)</w:t>
            </w:r>
          </w:p>
        </w:tc>
        <w:tc>
          <w:tcPr>
            <w:tcW w:w="321" w:type="pct"/>
            <w:hideMark/>
          </w:tcPr>
          <w:p w14:paraId="47D25C7F"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6C33559E" w14:textId="77777777" w:rsidR="00931F10" w:rsidRPr="00D77DA8" w:rsidRDefault="00931F10" w:rsidP="00C83E0B">
            <w:pPr>
              <w:pStyle w:val="DHHStabletext9pt"/>
              <w:rPr>
                <w:color w:val="000000"/>
              </w:rPr>
            </w:pPr>
            <w:r w:rsidRPr="00D77DA8">
              <w:rPr>
                <w:color w:val="000000"/>
              </w:rPr>
              <w:t>Stonnington</w:t>
            </w:r>
          </w:p>
        </w:tc>
        <w:tc>
          <w:tcPr>
            <w:tcW w:w="330" w:type="pct"/>
            <w:hideMark/>
          </w:tcPr>
          <w:p w14:paraId="0868744E" w14:textId="77777777" w:rsidR="00931F10" w:rsidRPr="00D77DA8" w:rsidRDefault="00931F10" w:rsidP="00C83E0B">
            <w:pPr>
              <w:pStyle w:val="DHHStabletext9pt"/>
              <w:rPr>
                <w:color w:val="000000"/>
              </w:rPr>
            </w:pPr>
            <w:r w:rsidRPr="00DA50D7">
              <w:rPr>
                <w:color w:val="000000"/>
              </w:rPr>
              <w:t>Star Health</w:t>
            </w:r>
          </w:p>
        </w:tc>
        <w:tc>
          <w:tcPr>
            <w:tcW w:w="301" w:type="pct"/>
            <w:hideMark/>
          </w:tcPr>
          <w:p w14:paraId="2A428903" w14:textId="77777777" w:rsidR="00931F10" w:rsidRPr="00D77DA8" w:rsidRDefault="00931F10" w:rsidP="00C83E0B">
            <w:pPr>
              <w:pStyle w:val="DHHStabletext9pt"/>
              <w:rPr>
                <w:color w:val="000000"/>
              </w:rPr>
            </w:pPr>
            <w:r w:rsidRPr="00D77DA8">
              <w:rPr>
                <w:color w:val="000000"/>
              </w:rPr>
              <w:t>SEPHU</w:t>
            </w:r>
          </w:p>
        </w:tc>
        <w:tc>
          <w:tcPr>
            <w:tcW w:w="410" w:type="pct"/>
            <w:hideMark/>
          </w:tcPr>
          <w:p w14:paraId="558F062A" w14:textId="77777777" w:rsidR="00931F10" w:rsidRPr="00D77DA8" w:rsidRDefault="00931F10" w:rsidP="00C83E0B">
            <w:pPr>
              <w:pStyle w:val="DHHStabletext9pt"/>
              <w:rPr>
                <w:color w:val="000000"/>
              </w:rPr>
            </w:pPr>
            <w:r w:rsidRPr="00D77DA8">
              <w:rPr>
                <w:color w:val="000000"/>
              </w:rPr>
              <w:t>South Metro - Lead - Alfred Health</w:t>
            </w:r>
          </w:p>
        </w:tc>
        <w:tc>
          <w:tcPr>
            <w:tcW w:w="373" w:type="pct"/>
            <w:hideMark/>
          </w:tcPr>
          <w:p w14:paraId="6AEC5D6F" w14:textId="77777777" w:rsidR="00931F10" w:rsidRPr="00D77DA8" w:rsidRDefault="00931F10" w:rsidP="00C83E0B">
            <w:pPr>
              <w:pStyle w:val="DHHStabletext9pt"/>
              <w:rPr>
                <w:color w:val="000000"/>
              </w:rPr>
            </w:pPr>
            <w:r w:rsidRPr="00D77DA8">
              <w:rPr>
                <w:color w:val="000000"/>
              </w:rPr>
              <w:t>Yes</w:t>
            </w:r>
          </w:p>
        </w:tc>
      </w:tr>
      <w:tr w:rsidR="00C83E0B" w:rsidRPr="003A1EF9" w14:paraId="5D100AAE" w14:textId="77777777" w:rsidTr="00856F51">
        <w:trPr>
          <w:trHeight w:val="1204"/>
        </w:trPr>
        <w:tc>
          <w:tcPr>
            <w:tcW w:w="383" w:type="pct"/>
            <w:hideMark/>
          </w:tcPr>
          <w:p w14:paraId="3157556A" w14:textId="77777777" w:rsidR="00931F10" w:rsidRPr="00D77DA8" w:rsidRDefault="00931F10" w:rsidP="00C83E0B">
            <w:pPr>
              <w:pStyle w:val="DHHStabletext9pt"/>
            </w:pPr>
            <w:r w:rsidRPr="00D77DA8">
              <w:t>Strathbogie Shire</w:t>
            </w:r>
          </w:p>
        </w:tc>
        <w:tc>
          <w:tcPr>
            <w:tcW w:w="2209" w:type="pct"/>
            <w:hideMark/>
          </w:tcPr>
          <w:p w14:paraId="7E749F11" w14:textId="77777777" w:rsidR="00931F10" w:rsidRPr="00D77DA8" w:rsidRDefault="00931F10" w:rsidP="00C83E0B">
            <w:pPr>
              <w:pStyle w:val="DHHStabletext9pt"/>
            </w:pPr>
            <w:r w:rsidRPr="00D77DA8">
              <w:t>Arcadia South, Avenel, Baddaginnie, Bailieston, Balmattum, Boho, Boho South, Creek Junction, Creighton, Creightons Creek, Earlston, Euroa, Gooram, Goulburn Weir, Graytown, Kelvin View, Kirwins Bridge, Kithbrook, Koonda, Locksley, Longwood, Longwood East, Mangalore, Marraweeny, Miepoll, Mitchellstown, Moglonemby, Molka, Moorilim, Moormbool West, Nagambie, Nalinga, Pranjip, Riggs Creek, Ruffy, Sheans Creek, Strathbogie, Tabilk, Tamleugh, Tarcombe, Upotipotpon, Upton Hill, Violet Town, Wahring, Whroo, Wirrate</w:t>
            </w:r>
          </w:p>
        </w:tc>
        <w:tc>
          <w:tcPr>
            <w:tcW w:w="328" w:type="pct"/>
            <w:hideMark/>
          </w:tcPr>
          <w:p w14:paraId="5B074E07" w14:textId="77777777" w:rsidR="00931F10" w:rsidRPr="00D77DA8" w:rsidRDefault="00931F10" w:rsidP="00C83E0B">
            <w:pPr>
              <w:pStyle w:val="DHHStabletext9pt"/>
              <w:rPr>
                <w:color w:val="000000"/>
              </w:rPr>
            </w:pPr>
            <w:r w:rsidRPr="00D77DA8">
              <w:rPr>
                <w:color w:val="000000"/>
              </w:rPr>
              <w:t xml:space="preserve">Goulburn </w:t>
            </w:r>
          </w:p>
        </w:tc>
        <w:tc>
          <w:tcPr>
            <w:tcW w:w="321" w:type="pct"/>
            <w:hideMark/>
          </w:tcPr>
          <w:p w14:paraId="42495050"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119AEAE0" w14:textId="77777777" w:rsidR="00931F10" w:rsidRPr="00D77DA8" w:rsidRDefault="00931F10" w:rsidP="00C83E0B">
            <w:pPr>
              <w:pStyle w:val="DHHStabletext9pt"/>
              <w:rPr>
                <w:color w:val="000000"/>
              </w:rPr>
            </w:pPr>
            <w:r w:rsidRPr="00D77DA8">
              <w:rPr>
                <w:color w:val="000000"/>
              </w:rPr>
              <w:t xml:space="preserve">Goulburn </w:t>
            </w:r>
          </w:p>
        </w:tc>
        <w:tc>
          <w:tcPr>
            <w:tcW w:w="330" w:type="pct"/>
            <w:hideMark/>
          </w:tcPr>
          <w:p w14:paraId="7F3156BB" w14:textId="77777777" w:rsidR="00931F10" w:rsidRPr="00D77DA8" w:rsidRDefault="00931F10" w:rsidP="00C83E0B">
            <w:pPr>
              <w:pStyle w:val="DHHStabletext9pt"/>
              <w:rPr>
                <w:color w:val="000000"/>
              </w:rPr>
            </w:pPr>
            <w:r w:rsidRPr="00DA50D7">
              <w:rPr>
                <w:color w:val="000000"/>
              </w:rPr>
              <w:t>Primary Care Connect</w:t>
            </w:r>
          </w:p>
        </w:tc>
        <w:tc>
          <w:tcPr>
            <w:tcW w:w="301" w:type="pct"/>
            <w:hideMark/>
          </w:tcPr>
          <w:p w14:paraId="22D94F74" w14:textId="77777777" w:rsidR="00931F10" w:rsidRPr="00D77DA8" w:rsidRDefault="00931F10" w:rsidP="00C83E0B">
            <w:pPr>
              <w:pStyle w:val="DHHStabletext9pt"/>
              <w:rPr>
                <w:color w:val="000000"/>
              </w:rPr>
            </w:pPr>
            <w:r w:rsidRPr="00D77DA8">
              <w:rPr>
                <w:color w:val="000000"/>
              </w:rPr>
              <w:t>Goulburn Health</w:t>
            </w:r>
          </w:p>
        </w:tc>
        <w:tc>
          <w:tcPr>
            <w:tcW w:w="410" w:type="pct"/>
            <w:hideMark/>
          </w:tcPr>
          <w:p w14:paraId="05C9D103"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2A641896" w14:textId="77777777" w:rsidR="00931F10" w:rsidRPr="00D77DA8" w:rsidRDefault="00931F10" w:rsidP="00C83E0B">
            <w:pPr>
              <w:pStyle w:val="DHHStabletext9pt"/>
              <w:rPr>
                <w:color w:val="000000"/>
              </w:rPr>
            </w:pPr>
            <w:r w:rsidRPr="00D77DA8">
              <w:rPr>
                <w:color w:val="000000"/>
              </w:rPr>
              <w:t>Yes</w:t>
            </w:r>
          </w:p>
        </w:tc>
      </w:tr>
      <w:tr w:rsidR="00C83E0B" w:rsidRPr="003A1EF9" w14:paraId="7AFB6290" w14:textId="77777777" w:rsidTr="00856F51">
        <w:trPr>
          <w:trHeight w:val="1236"/>
        </w:trPr>
        <w:tc>
          <w:tcPr>
            <w:tcW w:w="383" w:type="pct"/>
            <w:hideMark/>
          </w:tcPr>
          <w:p w14:paraId="4B76AD65" w14:textId="77777777" w:rsidR="00931F10" w:rsidRPr="00D77DA8" w:rsidRDefault="00931F10" w:rsidP="00C83E0B">
            <w:pPr>
              <w:pStyle w:val="DHHStabletext9pt"/>
            </w:pPr>
            <w:r w:rsidRPr="00D77DA8">
              <w:lastRenderedPageBreak/>
              <w:t>Surf Coast Shire</w:t>
            </w:r>
          </w:p>
        </w:tc>
        <w:tc>
          <w:tcPr>
            <w:tcW w:w="2209" w:type="pct"/>
            <w:hideMark/>
          </w:tcPr>
          <w:p w14:paraId="22E6E305" w14:textId="77777777" w:rsidR="00931F10" w:rsidRPr="00D77DA8" w:rsidRDefault="00931F10" w:rsidP="00C83E0B">
            <w:pPr>
              <w:pStyle w:val="DHHStabletext9pt"/>
              <w:rPr>
                <w:color w:val="000000"/>
              </w:rPr>
            </w:pPr>
            <w:r w:rsidRPr="00D77DA8">
              <w:rPr>
                <w:color w:val="000000"/>
              </w:rPr>
              <w:t>Aireys Inlet; Anglesea; Bambra; Barrabool; Bellbrae; Bells Beach; Benwerrin; Big Hill (Lorne); Birregurra; Boonah; Breamlea; Buckley; Connewarre; Deans Marsh; Eastern View; Fairhaven; Freshwater Creek; Gherang; Gnarwarre; Inverleigh; Jan Juc; Lorne; Modewarre; Moggs Creek; Moriac; Mount Duneed; Mount Moriac; Ombersley; Paraparap; Pennyroyal; Torquay; Wensleydale; Winchelsea; Winchelsea South; Wurdiboluc</w:t>
            </w:r>
          </w:p>
        </w:tc>
        <w:tc>
          <w:tcPr>
            <w:tcW w:w="328" w:type="pct"/>
            <w:hideMark/>
          </w:tcPr>
          <w:p w14:paraId="0E9FFCCE" w14:textId="77777777" w:rsidR="00931F10" w:rsidRPr="00D77DA8" w:rsidRDefault="00931F10" w:rsidP="00C83E0B">
            <w:pPr>
              <w:pStyle w:val="DHHStabletext9pt"/>
              <w:rPr>
                <w:color w:val="000000"/>
              </w:rPr>
            </w:pPr>
            <w:r w:rsidRPr="00D77DA8">
              <w:rPr>
                <w:color w:val="000000"/>
              </w:rPr>
              <w:t>Barwon</w:t>
            </w:r>
          </w:p>
        </w:tc>
        <w:tc>
          <w:tcPr>
            <w:tcW w:w="321" w:type="pct"/>
            <w:hideMark/>
          </w:tcPr>
          <w:p w14:paraId="2AB210FA"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0C420BC2" w14:textId="77777777" w:rsidR="00931F10" w:rsidRPr="00D77DA8" w:rsidRDefault="00931F10" w:rsidP="00C83E0B">
            <w:pPr>
              <w:pStyle w:val="DHHStabletext9pt"/>
              <w:rPr>
                <w:color w:val="000000"/>
              </w:rPr>
            </w:pPr>
            <w:r w:rsidRPr="00D77DA8">
              <w:rPr>
                <w:color w:val="000000"/>
              </w:rPr>
              <w:t>Barwon</w:t>
            </w:r>
          </w:p>
        </w:tc>
        <w:tc>
          <w:tcPr>
            <w:tcW w:w="330" w:type="pct"/>
            <w:hideMark/>
          </w:tcPr>
          <w:p w14:paraId="5CC9C926" w14:textId="77777777" w:rsidR="00931F10" w:rsidRPr="00D77DA8" w:rsidRDefault="00931F10" w:rsidP="00C83E0B">
            <w:pPr>
              <w:pStyle w:val="DHHStabletext9pt"/>
              <w:rPr>
                <w:color w:val="000000"/>
              </w:rPr>
            </w:pPr>
            <w:r w:rsidRPr="00D77DA8">
              <w:rPr>
                <w:color w:val="000000"/>
              </w:rPr>
              <w:t>Barwon Health</w:t>
            </w:r>
          </w:p>
        </w:tc>
        <w:tc>
          <w:tcPr>
            <w:tcW w:w="301" w:type="pct"/>
            <w:hideMark/>
          </w:tcPr>
          <w:p w14:paraId="44368F12" w14:textId="77777777" w:rsidR="00931F10" w:rsidRPr="00D77DA8" w:rsidRDefault="00931F10" w:rsidP="00C83E0B">
            <w:pPr>
              <w:pStyle w:val="DHHStabletext9pt"/>
              <w:rPr>
                <w:color w:val="000000"/>
              </w:rPr>
            </w:pPr>
            <w:r w:rsidRPr="00D77DA8">
              <w:rPr>
                <w:color w:val="000000"/>
              </w:rPr>
              <w:t>Barwon Health</w:t>
            </w:r>
          </w:p>
        </w:tc>
        <w:tc>
          <w:tcPr>
            <w:tcW w:w="410" w:type="pct"/>
            <w:hideMark/>
          </w:tcPr>
          <w:p w14:paraId="7C1B7E53"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45CA3FB8" w14:textId="77777777" w:rsidR="00931F10" w:rsidRPr="00D77DA8" w:rsidRDefault="00931F10" w:rsidP="00C83E0B">
            <w:pPr>
              <w:pStyle w:val="DHHStabletext9pt"/>
              <w:rPr>
                <w:color w:val="000000"/>
              </w:rPr>
            </w:pPr>
            <w:r w:rsidRPr="00D77DA8">
              <w:rPr>
                <w:color w:val="000000"/>
              </w:rPr>
              <w:t>Yes</w:t>
            </w:r>
          </w:p>
        </w:tc>
      </w:tr>
      <w:tr w:rsidR="00C83E0B" w:rsidRPr="003A1EF9" w14:paraId="67145389" w14:textId="77777777" w:rsidTr="00856F51">
        <w:trPr>
          <w:trHeight w:val="2185"/>
        </w:trPr>
        <w:tc>
          <w:tcPr>
            <w:tcW w:w="383" w:type="pct"/>
            <w:hideMark/>
          </w:tcPr>
          <w:p w14:paraId="19011DA9" w14:textId="77777777" w:rsidR="00931F10" w:rsidRPr="00D77DA8" w:rsidRDefault="00931F10" w:rsidP="00C83E0B">
            <w:pPr>
              <w:pStyle w:val="DHHStabletext9pt"/>
            </w:pPr>
            <w:r w:rsidRPr="00D77DA8">
              <w:t>Swan Hill Rural City</w:t>
            </w:r>
          </w:p>
        </w:tc>
        <w:tc>
          <w:tcPr>
            <w:tcW w:w="2209" w:type="pct"/>
            <w:hideMark/>
          </w:tcPr>
          <w:p w14:paraId="5ADB8CDF" w14:textId="77777777" w:rsidR="00931F10" w:rsidRPr="00D77DA8" w:rsidRDefault="00931F10" w:rsidP="00C83E0B">
            <w:pPr>
              <w:pStyle w:val="DHHStabletext9pt"/>
              <w:rPr>
                <w:color w:val="000000"/>
              </w:rPr>
            </w:pPr>
            <w:r w:rsidRPr="00D77DA8">
              <w:rPr>
                <w:color w:val="000000"/>
              </w:rPr>
              <w:t>Annuello; Bannerton; Beauchamp; Beverford; Bolton; Boundary Bend; Bulga; Castle Donnington; Chillingollah; Chinangin; Chinkapook; Cocamba; Fish Point; Gerahmin; Goschen; Gowanford; Happy Valley (Swan Hill); Kenley; Kooloonong; Kunat; Lake Boga; Lake Powell; Liparoo; Manangatang; Meatian; Miralie; Murnungin; Murrawee; Murraydale; Narrung; Natya; Nowie; Nyah; Nyah West; Nyrraby; Pental Island; Piangil; Pira; Polisbet; Robinvale; Robinvale Irrigation District Section B; Robinvale Irrigation District Section C; Robinvale Irrigation District Section D; Robinvale Irrigation District Section E; Speewa; Swan Hill; Swan Hill West; Tol Tol; Towan; Tresco; Tresco West; Turoar; Tyntynder; Tyntynder South; Tyrrell; Ultima; Ultima East; Vinifera; Waitchie; Wandown; Wemen; Winlaton; Winnambool; Wood Wood; Woorinen; Woorinen North; Woorinen South;</w:t>
            </w:r>
          </w:p>
        </w:tc>
        <w:tc>
          <w:tcPr>
            <w:tcW w:w="328" w:type="pct"/>
            <w:hideMark/>
          </w:tcPr>
          <w:p w14:paraId="33B834DC" w14:textId="77777777" w:rsidR="00931F10" w:rsidRPr="00D77DA8" w:rsidRDefault="00931F10" w:rsidP="00C83E0B">
            <w:pPr>
              <w:pStyle w:val="DHHStabletext9pt"/>
              <w:rPr>
                <w:color w:val="000000"/>
              </w:rPr>
            </w:pPr>
            <w:r w:rsidRPr="00D77DA8">
              <w:rPr>
                <w:color w:val="000000"/>
              </w:rPr>
              <w:t>Mallee</w:t>
            </w:r>
          </w:p>
        </w:tc>
        <w:tc>
          <w:tcPr>
            <w:tcW w:w="321" w:type="pct"/>
            <w:hideMark/>
          </w:tcPr>
          <w:p w14:paraId="3CD09A56"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29BDBAD9" w14:textId="77777777" w:rsidR="00931F10" w:rsidRPr="00D77DA8" w:rsidRDefault="00931F10" w:rsidP="00C83E0B">
            <w:pPr>
              <w:pStyle w:val="DHHStabletext9pt"/>
              <w:rPr>
                <w:color w:val="000000"/>
              </w:rPr>
            </w:pPr>
            <w:r w:rsidRPr="00D77DA8">
              <w:rPr>
                <w:color w:val="000000"/>
              </w:rPr>
              <w:t>Southern Mallee</w:t>
            </w:r>
          </w:p>
        </w:tc>
        <w:tc>
          <w:tcPr>
            <w:tcW w:w="330" w:type="pct"/>
            <w:hideMark/>
          </w:tcPr>
          <w:p w14:paraId="6EB5D5FE" w14:textId="77777777" w:rsidR="00931F10" w:rsidRPr="00D77DA8" w:rsidRDefault="00931F10" w:rsidP="00C83E0B">
            <w:pPr>
              <w:pStyle w:val="DHHStabletext9pt"/>
              <w:rPr>
                <w:color w:val="000000"/>
              </w:rPr>
            </w:pPr>
            <w:r w:rsidRPr="00DA50D7">
              <w:rPr>
                <w:color w:val="000000"/>
              </w:rPr>
              <w:t>Swan Hill District Health</w:t>
            </w:r>
          </w:p>
        </w:tc>
        <w:tc>
          <w:tcPr>
            <w:tcW w:w="301" w:type="pct"/>
            <w:hideMark/>
          </w:tcPr>
          <w:p w14:paraId="50DF7632" w14:textId="77777777" w:rsidR="00931F10" w:rsidRPr="00D77DA8" w:rsidRDefault="00931F10" w:rsidP="00C83E0B">
            <w:pPr>
              <w:pStyle w:val="DHHStabletext9pt"/>
              <w:rPr>
                <w:color w:val="000000"/>
              </w:rPr>
            </w:pPr>
            <w:r w:rsidRPr="00D77DA8">
              <w:rPr>
                <w:color w:val="000000"/>
              </w:rPr>
              <w:t>Bendigo Health</w:t>
            </w:r>
          </w:p>
        </w:tc>
        <w:tc>
          <w:tcPr>
            <w:tcW w:w="410" w:type="pct"/>
            <w:hideMark/>
          </w:tcPr>
          <w:p w14:paraId="27C63EFF" w14:textId="77777777" w:rsidR="00931F10" w:rsidRPr="00D77DA8" w:rsidRDefault="00931F10" w:rsidP="00C83E0B">
            <w:pPr>
              <w:pStyle w:val="DHHStabletext9pt"/>
              <w:rPr>
                <w:color w:val="000000"/>
              </w:rPr>
            </w:pPr>
            <w:r w:rsidRPr="00D77DA8">
              <w:rPr>
                <w:color w:val="000000"/>
              </w:rPr>
              <w:t>Loddon Mallee - Bendigo Health</w:t>
            </w:r>
          </w:p>
        </w:tc>
        <w:tc>
          <w:tcPr>
            <w:tcW w:w="373" w:type="pct"/>
            <w:hideMark/>
          </w:tcPr>
          <w:p w14:paraId="7B6B8683" w14:textId="77777777" w:rsidR="00931F10" w:rsidRPr="00D77DA8" w:rsidRDefault="00931F10" w:rsidP="00C83E0B">
            <w:pPr>
              <w:pStyle w:val="DHHStabletext9pt"/>
              <w:rPr>
                <w:color w:val="000000"/>
              </w:rPr>
            </w:pPr>
            <w:r w:rsidRPr="00D77DA8">
              <w:rPr>
                <w:color w:val="000000"/>
              </w:rPr>
              <w:t>Yes</w:t>
            </w:r>
          </w:p>
        </w:tc>
      </w:tr>
      <w:tr w:rsidR="00C83E0B" w:rsidRPr="003A1EF9" w14:paraId="3520E4E2" w14:textId="77777777" w:rsidTr="00856F51">
        <w:trPr>
          <w:trHeight w:val="1051"/>
        </w:trPr>
        <w:tc>
          <w:tcPr>
            <w:tcW w:w="383" w:type="pct"/>
            <w:hideMark/>
          </w:tcPr>
          <w:p w14:paraId="11D5AA08" w14:textId="77777777" w:rsidR="00931F10" w:rsidRPr="00D77DA8" w:rsidRDefault="00931F10" w:rsidP="00C83E0B">
            <w:pPr>
              <w:pStyle w:val="DHHStabletext9pt"/>
            </w:pPr>
            <w:r w:rsidRPr="00D77DA8">
              <w:t>Towong Shire</w:t>
            </w:r>
          </w:p>
        </w:tc>
        <w:tc>
          <w:tcPr>
            <w:tcW w:w="2209" w:type="pct"/>
            <w:hideMark/>
          </w:tcPr>
          <w:p w14:paraId="4CE8A0AA" w14:textId="77777777" w:rsidR="00931F10" w:rsidRPr="00D77DA8" w:rsidRDefault="00931F10" w:rsidP="00C83E0B">
            <w:pPr>
              <w:pStyle w:val="DHHStabletext9pt"/>
            </w:pPr>
            <w:r w:rsidRPr="00D77DA8">
              <w:t>Bellbridge, Berringama, Bethanga, Biggara, Bullioh, Bungil, Burrowyne, Colac Colac, Corryong, Cudgewa, Dartmouth, Eskdale, Georges Creek, Granya, Guys Forest, Huon, Jarvis Creek, Koetong, Lucyvale, Mitta Mitta, Mount Alfred, Nariel Valley, Old Tallangatta, Pine Mountain, Shelley, Talgarno, Tallandoon, Tallangatta, Tallangatta East, Tallangatta South, Tallangatta Valley, Thologolong, Thowgla Valley, Tintaldra, Tom Groggin, Towong, Towong Lower, Walwa</w:t>
            </w:r>
          </w:p>
        </w:tc>
        <w:tc>
          <w:tcPr>
            <w:tcW w:w="328" w:type="pct"/>
            <w:hideMark/>
          </w:tcPr>
          <w:p w14:paraId="13687699" w14:textId="77777777" w:rsidR="00931F10" w:rsidRPr="00D77DA8" w:rsidRDefault="00931F10" w:rsidP="00C83E0B">
            <w:pPr>
              <w:pStyle w:val="DHHStabletext9pt"/>
              <w:rPr>
                <w:color w:val="000000"/>
              </w:rPr>
            </w:pPr>
            <w:r w:rsidRPr="00D77DA8">
              <w:rPr>
                <w:color w:val="000000"/>
              </w:rPr>
              <w:t>Ovens Murray</w:t>
            </w:r>
          </w:p>
        </w:tc>
        <w:tc>
          <w:tcPr>
            <w:tcW w:w="321" w:type="pct"/>
            <w:hideMark/>
          </w:tcPr>
          <w:p w14:paraId="299A8115"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2756D0A2" w14:textId="77777777" w:rsidR="00931F10" w:rsidRPr="00D77DA8" w:rsidRDefault="00931F10" w:rsidP="00C83E0B">
            <w:pPr>
              <w:pStyle w:val="DHHStabletext9pt"/>
              <w:rPr>
                <w:color w:val="000000"/>
              </w:rPr>
            </w:pPr>
            <w:r w:rsidRPr="00D77DA8">
              <w:rPr>
                <w:color w:val="000000"/>
              </w:rPr>
              <w:t>Ovens Murray</w:t>
            </w:r>
          </w:p>
        </w:tc>
        <w:tc>
          <w:tcPr>
            <w:tcW w:w="330" w:type="pct"/>
            <w:hideMark/>
          </w:tcPr>
          <w:p w14:paraId="488E8DB3" w14:textId="77777777" w:rsidR="00931F10" w:rsidRPr="00D77DA8" w:rsidRDefault="00931F10" w:rsidP="00C83E0B">
            <w:pPr>
              <w:pStyle w:val="DHHStabletext9pt"/>
              <w:rPr>
                <w:color w:val="000000"/>
              </w:rPr>
            </w:pPr>
            <w:r w:rsidRPr="00D77DA8">
              <w:rPr>
                <w:color w:val="000000"/>
              </w:rPr>
              <w:t>Gateway Health</w:t>
            </w:r>
          </w:p>
        </w:tc>
        <w:tc>
          <w:tcPr>
            <w:tcW w:w="301" w:type="pct"/>
            <w:hideMark/>
          </w:tcPr>
          <w:p w14:paraId="1FDEE45F" w14:textId="77777777" w:rsidR="00931F10" w:rsidRPr="00D77DA8" w:rsidRDefault="00931F10" w:rsidP="00C83E0B">
            <w:pPr>
              <w:pStyle w:val="DHHStabletext9pt"/>
              <w:rPr>
                <w:color w:val="000000"/>
              </w:rPr>
            </w:pPr>
            <w:r w:rsidRPr="00D77DA8">
              <w:rPr>
                <w:color w:val="000000"/>
              </w:rPr>
              <w:t>Albury Health</w:t>
            </w:r>
          </w:p>
        </w:tc>
        <w:tc>
          <w:tcPr>
            <w:tcW w:w="410" w:type="pct"/>
            <w:hideMark/>
          </w:tcPr>
          <w:p w14:paraId="44EBC9E8"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24ADA85E" w14:textId="77777777" w:rsidR="00931F10" w:rsidRPr="00D77DA8" w:rsidRDefault="00931F10" w:rsidP="00C83E0B">
            <w:pPr>
              <w:pStyle w:val="DHHStabletext9pt"/>
              <w:rPr>
                <w:color w:val="000000"/>
              </w:rPr>
            </w:pPr>
            <w:r w:rsidRPr="00D77DA8">
              <w:rPr>
                <w:color w:val="000000"/>
              </w:rPr>
              <w:t>Yes</w:t>
            </w:r>
          </w:p>
        </w:tc>
      </w:tr>
      <w:tr w:rsidR="00C83E0B" w:rsidRPr="003A1EF9" w14:paraId="590184D1" w14:textId="77777777" w:rsidTr="00856F51">
        <w:trPr>
          <w:trHeight w:val="1618"/>
        </w:trPr>
        <w:tc>
          <w:tcPr>
            <w:tcW w:w="383" w:type="pct"/>
            <w:hideMark/>
          </w:tcPr>
          <w:p w14:paraId="49F9778F" w14:textId="77777777" w:rsidR="00931F10" w:rsidRPr="00D77DA8" w:rsidRDefault="00931F10" w:rsidP="00C83E0B">
            <w:pPr>
              <w:pStyle w:val="DHHStabletext9pt"/>
            </w:pPr>
            <w:r w:rsidRPr="00D77DA8">
              <w:t>Wangaratta Rural City</w:t>
            </w:r>
          </w:p>
        </w:tc>
        <w:tc>
          <w:tcPr>
            <w:tcW w:w="2209" w:type="pct"/>
            <w:hideMark/>
          </w:tcPr>
          <w:p w14:paraId="026C9167" w14:textId="77777777" w:rsidR="00931F10" w:rsidRPr="00D77DA8" w:rsidRDefault="00931F10" w:rsidP="00C83E0B">
            <w:pPr>
              <w:pStyle w:val="DHHStabletext9pt"/>
            </w:pPr>
            <w:r w:rsidRPr="00D77DA8">
              <w:t>Archerton, Bobinawarrah, Boorhaman, Boorhaman East, Boorhaman North, Boralma, Boweya, Bowmans Forest, Bowser, Byawatha, Carboor, Cheshunt, Cheshunt South, Docker, Dockers Plains, Edi, Edi Upper, Eldorado, Everton, Everton Upper, Glenrowan, Greta, Greta South, Greta West, Hansonville, Killawarra, King Valley, Laceby, Londrigan, Lurg Upper, Markwood, Meadow Creek, Milawa, Moyhu, Murmungee, Myrrhee, Oxley, Oxley Flats, Peechelba, Peechelba East, Rose River, Springhurst, Tarrawingee, Tatong, Tolmie, Wabonga, Waldara, Wangandary, Wangaratta, Wangaratta East, Wangaratta North, Wangaratta South, Whitfield, Whitlands, Whorouly, Whorouly East, Whorouly South, Yarrunga.</w:t>
            </w:r>
          </w:p>
        </w:tc>
        <w:tc>
          <w:tcPr>
            <w:tcW w:w="328" w:type="pct"/>
            <w:hideMark/>
          </w:tcPr>
          <w:p w14:paraId="1A12D7D7" w14:textId="77777777" w:rsidR="00931F10" w:rsidRPr="00D77DA8" w:rsidRDefault="00931F10" w:rsidP="00C83E0B">
            <w:pPr>
              <w:pStyle w:val="DHHStabletext9pt"/>
              <w:rPr>
                <w:color w:val="000000"/>
              </w:rPr>
            </w:pPr>
            <w:r w:rsidRPr="00D77DA8">
              <w:rPr>
                <w:color w:val="000000"/>
              </w:rPr>
              <w:t>Ovens Murray</w:t>
            </w:r>
          </w:p>
        </w:tc>
        <w:tc>
          <w:tcPr>
            <w:tcW w:w="321" w:type="pct"/>
            <w:hideMark/>
          </w:tcPr>
          <w:p w14:paraId="5FEF0828"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7018C816" w14:textId="77777777" w:rsidR="00931F10" w:rsidRPr="00D77DA8" w:rsidRDefault="00931F10" w:rsidP="00C83E0B">
            <w:pPr>
              <w:pStyle w:val="DHHStabletext9pt"/>
              <w:rPr>
                <w:color w:val="000000"/>
              </w:rPr>
            </w:pPr>
            <w:r w:rsidRPr="00D77DA8">
              <w:rPr>
                <w:color w:val="000000"/>
              </w:rPr>
              <w:t>Ovens Murray</w:t>
            </w:r>
          </w:p>
        </w:tc>
        <w:tc>
          <w:tcPr>
            <w:tcW w:w="330" w:type="pct"/>
            <w:hideMark/>
          </w:tcPr>
          <w:p w14:paraId="01C0E0DE" w14:textId="77777777" w:rsidR="00931F10" w:rsidRPr="00D77DA8" w:rsidRDefault="00931F10" w:rsidP="00C83E0B">
            <w:pPr>
              <w:pStyle w:val="DHHStabletext9pt"/>
              <w:rPr>
                <w:color w:val="000000"/>
              </w:rPr>
            </w:pPr>
            <w:r w:rsidRPr="00D77DA8">
              <w:rPr>
                <w:color w:val="000000"/>
              </w:rPr>
              <w:t>Gateway Health</w:t>
            </w:r>
          </w:p>
        </w:tc>
        <w:tc>
          <w:tcPr>
            <w:tcW w:w="301" w:type="pct"/>
            <w:hideMark/>
          </w:tcPr>
          <w:p w14:paraId="5F7F5546" w14:textId="77777777" w:rsidR="00931F10" w:rsidRPr="00D77DA8" w:rsidRDefault="00931F10" w:rsidP="00C83E0B">
            <w:pPr>
              <w:pStyle w:val="DHHStabletext9pt"/>
              <w:rPr>
                <w:color w:val="000000"/>
              </w:rPr>
            </w:pPr>
            <w:r w:rsidRPr="00D77DA8">
              <w:rPr>
                <w:color w:val="000000"/>
              </w:rPr>
              <w:t>Goulburn Health</w:t>
            </w:r>
          </w:p>
        </w:tc>
        <w:tc>
          <w:tcPr>
            <w:tcW w:w="410" w:type="pct"/>
            <w:hideMark/>
          </w:tcPr>
          <w:p w14:paraId="32F75A37"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564CBD28" w14:textId="77777777" w:rsidR="00931F10" w:rsidRPr="00D77DA8" w:rsidRDefault="00931F10" w:rsidP="00C83E0B">
            <w:pPr>
              <w:pStyle w:val="DHHStabletext9pt"/>
              <w:rPr>
                <w:color w:val="000000"/>
              </w:rPr>
            </w:pPr>
            <w:r w:rsidRPr="00D77DA8">
              <w:rPr>
                <w:color w:val="000000"/>
              </w:rPr>
              <w:t>Yes</w:t>
            </w:r>
          </w:p>
        </w:tc>
      </w:tr>
      <w:tr w:rsidR="00C83E0B" w:rsidRPr="003A1EF9" w14:paraId="591C88BB" w14:textId="77777777" w:rsidTr="00856F51">
        <w:trPr>
          <w:trHeight w:val="1200"/>
        </w:trPr>
        <w:tc>
          <w:tcPr>
            <w:tcW w:w="383" w:type="pct"/>
            <w:hideMark/>
          </w:tcPr>
          <w:p w14:paraId="2A51253C" w14:textId="77777777" w:rsidR="00931F10" w:rsidRPr="00D77DA8" w:rsidRDefault="00931F10" w:rsidP="00C83E0B">
            <w:pPr>
              <w:pStyle w:val="DHHStabletext9pt"/>
            </w:pPr>
            <w:r w:rsidRPr="00D77DA8">
              <w:lastRenderedPageBreak/>
              <w:t>Warrnambool City</w:t>
            </w:r>
          </w:p>
        </w:tc>
        <w:tc>
          <w:tcPr>
            <w:tcW w:w="2209" w:type="pct"/>
            <w:hideMark/>
          </w:tcPr>
          <w:p w14:paraId="060E4A70" w14:textId="67406C84" w:rsidR="00931F10" w:rsidRPr="00D77DA8" w:rsidRDefault="00931F10" w:rsidP="00C83E0B">
            <w:pPr>
              <w:pStyle w:val="DHHStabletext9pt"/>
              <w:rPr>
                <w:color w:val="000000"/>
              </w:rPr>
            </w:pPr>
            <w:r w:rsidRPr="00D77DA8">
              <w:rPr>
                <w:color w:val="000000"/>
              </w:rPr>
              <w:t>Allansford;</w:t>
            </w:r>
            <w:r w:rsidR="00856F51">
              <w:rPr>
                <w:color w:val="000000"/>
              </w:rPr>
              <w:t xml:space="preserve"> </w:t>
            </w:r>
            <w:r w:rsidRPr="00D77DA8">
              <w:rPr>
                <w:color w:val="000000"/>
              </w:rPr>
              <w:t>Bushfield;Dennington;Illowa;Warrnambool;Woodford;Yangery</w:t>
            </w:r>
          </w:p>
        </w:tc>
        <w:tc>
          <w:tcPr>
            <w:tcW w:w="328" w:type="pct"/>
            <w:hideMark/>
          </w:tcPr>
          <w:p w14:paraId="6D4A63C8" w14:textId="77777777" w:rsidR="00931F10" w:rsidRPr="00D77DA8" w:rsidRDefault="00931F10" w:rsidP="00C83E0B">
            <w:pPr>
              <w:pStyle w:val="DHHStabletext9pt"/>
              <w:rPr>
                <w:color w:val="000000"/>
              </w:rPr>
            </w:pPr>
            <w:r w:rsidRPr="00D77DA8">
              <w:rPr>
                <w:color w:val="000000"/>
              </w:rPr>
              <w:t>Wimmera South West</w:t>
            </w:r>
          </w:p>
        </w:tc>
        <w:tc>
          <w:tcPr>
            <w:tcW w:w="321" w:type="pct"/>
            <w:hideMark/>
          </w:tcPr>
          <w:p w14:paraId="59E2D93B"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6EB483B9" w14:textId="77777777" w:rsidR="00931F10" w:rsidRPr="00D77DA8" w:rsidRDefault="00931F10" w:rsidP="00C83E0B">
            <w:pPr>
              <w:pStyle w:val="DHHStabletext9pt"/>
              <w:rPr>
                <w:color w:val="000000"/>
              </w:rPr>
            </w:pPr>
            <w:r w:rsidRPr="00D77DA8">
              <w:rPr>
                <w:color w:val="000000"/>
              </w:rPr>
              <w:t>WSW - South West</w:t>
            </w:r>
          </w:p>
        </w:tc>
        <w:tc>
          <w:tcPr>
            <w:tcW w:w="330" w:type="pct"/>
            <w:hideMark/>
          </w:tcPr>
          <w:p w14:paraId="1E2E4180" w14:textId="77777777" w:rsidR="00931F10" w:rsidRPr="00D77DA8" w:rsidRDefault="00931F10" w:rsidP="00C83E0B">
            <w:pPr>
              <w:pStyle w:val="DHHStabletext9pt"/>
              <w:rPr>
                <w:color w:val="000000"/>
              </w:rPr>
            </w:pPr>
            <w:r w:rsidRPr="00600018">
              <w:rPr>
                <w:color w:val="000000"/>
              </w:rPr>
              <w:t>South West Health Care</w:t>
            </w:r>
          </w:p>
        </w:tc>
        <w:tc>
          <w:tcPr>
            <w:tcW w:w="301" w:type="pct"/>
            <w:hideMark/>
          </w:tcPr>
          <w:p w14:paraId="6F93978D" w14:textId="77777777" w:rsidR="00931F10" w:rsidRPr="00D77DA8" w:rsidRDefault="00931F10" w:rsidP="00C83E0B">
            <w:pPr>
              <w:pStyle w:val="DHHStabletext9pt"/>
              <w:rPr>
                <w:color w:val="000000"/>
              </w:rPr>
            </w:pPr>
          </w:p>
        </w:tc>
        <w:tc>
          <w:tcPr>
            <w:tcW w:w="410" w:type="pct"/>
            <w:hideMark/>
          </w:tcPr>
          <w:p w14:paraId="0C29E414" w14:textId="77777777" w:rsidR="00931F10" w:rsidRPr="00D77DA8" w:rsidRDefault="00931F10" w:rsidP="00C83E0B">
            <w:pPr>
              <w:pStyle w:val="DHHStabletext9pt"/>
              <w:rPr>
                <w:color w:val="000000"/>
              </w:rPr>
            </w:pPr>
            <w:r w:rsidRPr="00D77DA8">
              <w:rPr>
                <w:color w:val="000000"/>
              </w:rPr>
              <w:t>Barwon South West - Lead agency: Barwon Health</w:t>
            </w:r>
          </w:p>
        </w:tc>
        <w:tc>
          <w:tcPr>
            <w:tcW w:w="373" w:type="pct"/>
            <w:hideMark/>
          </w:tcPr>
          <w:p w14:paraId="3E1F7D73" w14:textId="77777777" w:rsidR="00931F10" w:rsidRPr="00D77DA8" w:rsidRDefault="00931F10" w:rsidP="00C83E0B">
            <w:pPr>
              <w:pStyle w:val="DHHStabletext9pt"/>
              <w:rPr>
                <w:color w:val="000000"/>
              </w:rPr>
            </w:pPr>
            <w:r w:rsidRPr="00D77DA8">
              <w:rPr>
                <w:color w:val="000000"/>
              </w:rPr>
              <w:t>Yes</w:t>
            </w:r>
          </w:p>
        </w:tc>
      </w:tr>
      <w:tr w:rsidR="00C83E0B" w:rsidRPr="003A1EF9" w14:paraId="41672378" w14:textId="77777777" w:rsidTr="00856F51">
        <w:trPr>
          <w:trHeight w:val="2468"/>
        </w:trPr>
        <w:tc>
          <w:tcPr>
            <w:tcW w:w="383" w:type="pct"/>
            <w:hideMark/>
          </w:tcPr>
          <w:p w14:paraId="36B6539D" w14:textId="77777777" w:rsidR="00931F10" w:rsidRPr="00D77DA8" w:rsidRDefault="00931F10" w:rsidP="00C83E0B">
            <w:pPr>
              <w:pStyle w:val="DHHStabletext9pt"/>
            </w:pPr>
            <w:r w:rsidRPr="00D77DA8">
              <w:t>Wellington Shire</w:t>
            </w:r>
          </w:p>
        </w:tc>
        <w:tc>
          <w:tcPr>
            <w:tcW w:w="2209" w:type="pct"/>
            <w:hideMark/>
          </w:tcPr>
          <w:p w14:paraId="0BB2742C" w14:textId="77777777" w:rsidR="00931F10" w:rsidRPr="00D77DA8" w:rsidRDefault="00931F10" w:rsidP="00C83E0B">
            <w:pPr>
              <w:pStyle w:val="DHHStabletext9pt"/>
              <w:rPr>
                <w:color w:val="000000"/>
              </w:rPr>
            </w:pPr>
            <w:r w:rsidRPr="00D77DA8">
              <w:rPr>
                <w:color w:val="000000"/>
              </w:rPr>
              <w:t>Airly, Alberton, Alberton West, Arbuckle, Balook, Billabong, Binginwarri, Blackwarry, Boisdale, Briagolong, Budgee Budgee, Bundalaguah, Buragwonduc, Bushy Park, Callignee North, Callignee South, Calrossie, Carrajung, Carrajung Lower, Carrajung South, Castleburn, Cherrilong, Christies, Clydebank, Cobains, Coongulla, Cowa, Cowwarr, Crookayan, Crooked River, Dargo, Darriman, Dawson, Denison, Devon North, Dutson, Dutson Downs, Fernbank, Flamingo Beach, Flynn, Flynns Creek, Fulham, Gelliondale, Giffard, Giffard West, Gillum, Glen Falloch, Glengarry, Glenmaggie, Glomar Beach, Golden Beach, Gormandale, Grand Ridge, Greenmount, Hawkhurst, Hedley, Heyfield, Hiamdale, Hiawatha, Hollands Landing, Howitt Plains, Hunterston, Jack River, Johnstones Hill, Kilmany, Koorool, Lake Wellington, Langsborough, Licola, Licola North, Llowalong, Loch Sport, Longford, Macks Creek, Madalya, Maffra, Maffra West Upper, Manns Beach, Mcloughlins Beach, Meerlieu, Mewburn Park, Miowera, Monomak, Montgomery, Moornapa, Moroka, Mount Buller, Munro, Myrtlebank, Nambrok, Nap Nap Marra, Newry, Nuntin, Ocean Grange, Paradise Beach, Pearsondale, Perry Bridge, Port Albert, Reynard, Riverslea, Robertsons Beach, Rosedale, Sale, Sale East, Sargood, Seacombe, Seaspray, Seaton, Snake Island, Staceys Bridge, Stockdale, Stradbroke, Stratford, Tamboritha, Tarra Valley, Tarraville, The Heart, The Honeysuckles, Tinamba, Tinambra West, Toolome, Toongabbie, Toora North, Valencia Creek, Walhalla, Walhalla East, Waterford, Willung, Willung South, Winnindoo, Won Wron, Wongungarra, Wonyip, Woods Point, Woodside, Woodside Beach, Woodside North, Woolenook, Woorarra, Worrowing, Wrathung, Wrixen, Wurruk, Yangoura And Yarram.</w:t>
            </w:r>
          </w:p>
        </w:tc>
        <w:tc>
          <w:tcPr>
            <w:tcW w:w="328" w:type="pct"/>
            <w:hideMark/>
          </w:tcPr>
          <w:p w14:paraId="581F700F" w14:textId="77777777" w:rsidR="00931F10" w:rsidRPr="00D77DA8" w:rsidRDefault="00931F10" w:rsidP="00C83E0B">
            <w:pPr>
              <w:pStyle w:val="DHHStabletext9pt"/>
              <w:rPr>
                <w:color w:val="000000"/>
              </w:rPr>
            </w:pPr>
            <w:r w:rsidRPr="00D77DA8">
              <w:rPr>
                <w:color w:val="000000"/>
              </w:rPr>
              <w:t>Outer Gippsland Area (OGA)</w:t>
            </w:r>
          </w:p>
        </w:tc>
        <w:tc>
          <w:tcPr>
            <w:tcW w:w="321" w:type="pct"/>
            <w:hideMark/>
          </w:tcPr>
          <w:p w14:paraId="491AD281" w14:textId="77777777" w:rsidR="00931F10" w:rsidRPr="00D77DA8" w:rsidRDefault="00931F10" w:rsidP="00C83E0B">
            <w:pPr>
              <w:pStyle w:val="DHHStabletext9pt"/>
              <w:rPr>
                <w:color w:val="000000"/>
              </w:rPr>
            </w:pPr>
            <w:r w:rsidRPr="00D77DA8">
              <w:rPr>
                <w:color w:val="000000"/>
              </w:rPr>
              <w:t>South</w:t>
            </w:r>
          </w:p>
        </w:tc>
        <w:tc>
          <w:tcPr>
            <w:tcW w:w="345" w:type="pct"/>
            <w:hideMark/>
          </w:tcPr>
          <w:p w14:paraId="250A7DA6" w14:textId="77777777" w:rsidR="00931F10" w:rsidRPr="00D77DA8" w:rsidRDefault="00931F10" w:rsidP="00C83E0B">
            <w:pPr>
              <w:pStyle w:val="DHHStabletext9pt"/>
              <w:rPr>
                <w:color w:val="000000"/>
              </w:rPr>
            </w:pPr>
            <w:r w:rsidRPr="00D77DA8">
              <w:rPr>
                <w:color w:val="000000"/>
              </w:rPr>
              <w:t>Wellington</w:t>
            </w:r>
          </w:p>
        </w:tc>
        <w:tc>
          <w:tcPr>
            <w:tcW w:w="330" w:type="pct"/>
            <w:hideMark/>
          </w:tcPr>
          <w:p w14:paraId="1E831A88" w14:textId="77777777" w:rsidR="00931F10" w:rsidRPr="00D77DA8" w:rsidRDefault="00931F10" w:rsidP="00C83E0B">
            <w:pPr>
              <w:pStyle w:val="DHHStabletext9pt"/>
              <w:rPr>
                <w:color w:val="000000"/>
              </w:rPr>
            </w:pPr>
            <w:r w:rsidRPr="00600018">
              <w:rPr>
                <w:color w:val="000000"/>
              </w:rPr>
              <w:t>Central Gippsland Health Service</w:t>
            </w:r>
          </w:p>
        </w:tc>
        <w:tc>
          <w:tcPr>
            <w:tcW w:w="301" w:type="pct"/>
            <w:hideMark/>
          </w:tcPr>
          <w:p w14:paraId="269D82FD" w14:textId="77777777" w:rsidR="00931F10" w:rsidRPr="00D77DA8" w:rsidRDefault="00931F10" w:rsidP="00C83E0B">
            <w:pPr>
              <w:pStyle w:val="DHHStabletext9pt"/>
              <w:rPr>
                <w:color w:val="000000"/>
              </w:rPr>
            </w:pPr>
            <w:r w:rsidRPr="00D77DA8">
              <w:rPr>
                <w:color w:val="000000"/>
              </w:rPr>
              <w:t>La Trobe Health</w:t>
            </w:r>
          </w:p>
        </w:tc>
        <w:tc>
          <w:tcPr>
            <w:tcW w:w="410" w:type="pct"/>
            <w:hideMark/>
          </w:tcPr>
          <w:p w14:paraId="03B6E481" w14:textId="77777777" w:rsidR="00931F10" w:rsidRPr="00D77DA8" w:rsidRDefault="00931F10" w:rsidP="00C83E0B">
            <w:pPr>
              <w:pStyle w:val="DHHStabletext9pt"/>
              <w:rPr>
                <w:color w:val="000000"/>
              </w:rPr>
            </w:pPr>
            <w:r w:rsidRPr="00D77DA8">
              <w:rPr>
                <w:color w:val="000000"/>
              </w:rPr>
              <w:t>Gippsland - Lead - La Trobe Regional Health</w:t>
            </w:r>
          </w:p>
        </w:tc>
        <w:tc>
          <w:tcPr>
            <w:tcW w:w="373" w:type="pct"/>
            <w:hideMark/>
          </w:tcPr>
          <w:p w14:paraId="1A68CC02" w14:textId="77777777" w:rsidR="00931F10" w:rsidRPr="00D77DA8" w:rsidRDefault="00931F10" w:rsidP="00C83E0B">
            <w:pPr>
              <w:pStyle w:val="DHHStabletext9pt"/>
              <w:rPr>
                <w:color w:val="000000"/>
              </w:rPr>
            </w:pPr>
            <w:r w:rsidRPr="00D77DA8">
              <w:rPr>
                <w:color w:val="000000"/>
              </w:rPr>
              <w:t>Yes</w:t>
            </w:r>
          </w:p>
        </w:tc>
      </w:tr>
      <w:tr w:rsidR="00C83E0B" w:rsidRPr="003A1EF9" w14:paraId="5BA0922A" w14:textId="77777777" w:rsidTr="00856F51">
        <w:trPr>
          <w:trHeight w:val="405"/>
        </w:trPr>
        <w:tc>
          <w:tcPr>
            <w:tcW w:w="383" w:type="pct"/>
            <w:hideMark/>
          </w:tcPr>
          <w:p w14:paraId="2CC89C05" w14:textId="77777777" w:rsidR="00931F10" w:rsidRPr="00D77DA8" w:rsidRDefault="00931F10" w:rsidP="00C83E0B">
            <w:pPr>
              <w:pStyle w:val="DHHStabletext9pt"/>
            </w:pPr>
            <w:r w:rsidRPr="00D77DA8">
              <w:t>West Wimmera Shire</w:t>
            </w:r>
          </w:p>
        </w:tc>
        <w:tc>
          <w:tcPr>
            <w:tcW w:w="2209" w:type="pct"/>
            <w:hideMark/>
          </w:tcPr>
          <w:p w14:paraId="27163519" w14:textId="77777777" w:rsidR="00931F10" w:rsidRPr="00D77DA8" w:rsidRDefault="00931F10" w:rsidP="00C83E0B">
            <w:pPr>
              <w:pStyle w:val="DHHStabletext9pt"/>
              <w:rPr>
                <w:color w:val="000000"/>
              </w:rPr>
            </w:pPr>
            <w:r w:rsidRPr="00D77DA8">
              <w:rPr>
                <w:color w:val="000000"/>
              </w:rPr>
              <w:t>Apsley; Benayeo; Big Desert; Bringalbert; Broughton; Charam; Chetwynd; Connewirricoo; Dergholm; Dorodong; Douglas; Edenhope; Goroke; Grass Flat; Gymbowen; Harrow; Kadnook; Kaniva; Karnak; Langkoop; Lawloit; Lillimur; Miga Lake; Minimay; Miram; Mitre; Neuarpurr; Nurcoung; Ozenkadnook; Patyah; Peronne; Poolaijelo; Powers Creek; Serviceton; Tarrayoukyan; Telopea Downs; Ullswater; Wombelano</w:t>
            </w:r>
          </w:p>
        </w:tc>
        <w:tc>
          <w:tcPr>
            <w:tcW w:w="328" w:type="pct"/>
            <w:hideMark/>
          </w:tcPr>
          <w:p w14:paraId="19FFCC49" w14:textId="77777777" w:rsidR="00931F10" w:rsidRPr="00D77DA8" w:rsidRDefault="00931F10" w:rsidP="00C83E0B">
            <w:pPr>
              <w:pStyle w:val="DHHStabletext9pt"/>
              <w:rPr>
                <w:color w:val="000000"/>
              </w:rPr>
            </w:pPr>
            <w:r w:rsidRPr="00D77DA8">
              <w:rPr>
                <w:color w:val="000000"/>
              </w:rPr>
              <w:t>Wimmera South West</w:t>
            </w:r>
          </w:p>
        </w:tc>
        <w:tc>
          <w:tcPr>
            <w:tcW w:w="321" w:type="pct"/>
            <w:hideMark/>
          </w:tcPr>
          <w:p w14:paraId="054CDBF3"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709E9B11" w14:textId="77777777" w:rsidR="00931F10" w:rsidRPr="00D77DA8" w:rsidRDefault="00931F10" w:rsidP="00C83E0B">
            <w:pPr>
              <w:pStyle w:val="DHHStabletext9pt"/>
              <w:rPr>
                <w:color w:val="000000"/>
              </w:rPr>
            </w:pPr>
            <w:r w:rsidRPr="00D77DA8">
              <w:rPr>
                <w:color w:val="000000"/>
              </w:rPr>
              <w:t>WSW - Wimmera</w:t>
            </w:r>
          </w:p>
        </w:tc>
        <w:tc>
          <w:tcPr>
            <w:tcW w:w="330" w:type="pct"/>
            <w:hideMark/>
          </w:tcPr>
          <w:p w14:paraId="0FAFD84F" w14:textId="77777777" w:rsidR="00931F10" w:rsidRPr="00D77DA8" w:rsidRDefault="00931F10" w:rsidP="00C83E0B">
            <w:pPr>
              <w:pStyle w:val="DHHStabletext9pt"/>
              <w:rPr>
                <w:color w:val="000000"/>
              </w:rPr>
            </w:pPr>
            <w:r w:rsidRPr="00600018">
              <w:rPr>
                <w:color w:val="000000"/>
              </w:rPr>
              <w:t>Grampians Community Health</w:t>
            </w:r>
          </w:p>
        </w:tc>
        <w:tc>
          <w:tcPr>
            <w:tcW w:w="301" w:type="pct"/>
            <w:hideMark/>
          </w:tcPr>
          <w:p w14:paraId="680A0F5C"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64FC3342"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3A4747F7" w14:textId="77777777" w:rsidR="00931F10" w:rsidRPr="00D77DA8" w:rsidRDefault="00931F10" w:rsidP="00C83E0B">
            <w:pPr>
              <w:pStyle w:val="DHHStabletext9pt"/>
              <w:rPr>
                <w:color w:val="000000"/>
              </w:rPr>
            </w:pPr>
            <w:r w:rsidRPr="00D77DA8">
              <w:rPr>
                <w:color w:val="000000"/>
              </w:rPr>
              <w:t>Yes</w:t>
            </w:r>
          </w:p>
        </w:tc>
      </w:tr>
      <w:tr w:rsidR="00C83E0B" w:rsidRPr="003A1EF9" w14:paraId="1D420FF6" w14:textId="77777777" w:rsidTr="00856F51">
        <w:trPr>
          <w:trHeight w:val="626"/>
        </w:trPr>
        <w:tc>
          <w:tcPr>
            <w:tcW w:w="383" w:type="pct"/>
            <w:hideMark/>
          </w:tcPr>
          <w:p w14:paraId="3A144161" w14:textId="77777777" w:rsidR="00931F10" w:rsidRPr="00D77DA8" w:rsidRDefault="00931F10" w:rsidP="00C83E0B">
            <w:pPr>
              <w:pStyle w:val="DHHStabletext9pt"/>
            </w:pPr>
            <w:r w:rsidRPr="00D77DA8">
              <w:lastRenderedPageBreak/>
              <w:t>Whitehorse City</w:t>
            </w:r>
          </w:p>
        </w:tc>
        <w:tc>
          <w:tcPr>
            <w:tcW w:w="2209" w:type="pct"/>
            <w:hideMark/>
          </w:tcPr>
          <w:p w14:paraId="361D0433" w14:textId="77777777" w:rsidR="00931F10" w:rsidRPr="00D77DA8" w:rsidRDefault="00931F10" w:rsidP="00C83E0B">
            <w:pPr>
              <w:pStyle w:val="DHHStabletext9pt"/>
            </w:pPr>
            <w:r w:rsidRPr="00D77DA8">
              <w:t>Blackburn, Blackburn North, Blackburn South, Box Hill, Box Hill North, Box Hill South, Burwood, Burwood East, Forest Hill, Mitcham, Mont Albert, Mont Albert North, Nunawading, Surrey Hills, Vermont And Vermont South</w:t>
            </w:r>
          </w:p>
        </w:tc>
        <w:tc>
          <w:tcPr>
            <w:tcW w:w="328" w:type="pct"/>
            <w:hideMark/>
          </w:tcPr>
          <w:p w14:paraId="1236E9D4" w14:textId="77777777" w:rsidR="00931F10" w:rsidRPr="00D77DA8" w:rsidRDefault="00931F10" w:rsidP="00C83E0B">
            <w:pPr>
              <w:pStyle w:val="DHHStabletext9pt"/>
              <w:rPr>
                <w:color w:val="000000"/>
              </w:rPr>
            </w:pPr>
            <w:r w:rsidRPr="00D77DA8">
              <w:rPr>
                <w:color w:val="000000"/>
              </w:rPr>
              <w:t>Inner Eastern</w:t>
            </w:r>
          </w:p>
        </w:tc>
        <w:tc>
          <w:tcPr>
            <w:tcW w:w="321" w:type="pct"/>
            <w:hideMark/>
          </w:tcPr>
          <w:p w14:paraId="5FB52090"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42AF1725" w14:textId="77777777" w:rsidR="00931F10" w:rsidRPr="00D77DA8" w:rsidRDefault="00931F10" w:rsidP="00C83E0B">
            <w:pPr>
              <w:pStyle w:val="DHHStabletext9pt"/>
              <w:rPr>
                <w:color w:val="000000"/>
              </w:rPr>
            </w:pPr>
            <w:r w:rsidRPr="00D77DA8">
              <w:rPr>
                <w:color w:val="000000"/>
              </w:rPr>
              <w:t>Inner Eastern</w:t>
            </w:r>
          </w:p>
        </w:tc>
        <w:tc>
          <w:tcPr>
            <w:tcW w:w="330" w:type="pct"/>
            <w:hideMark/>
          </w:tcPr>
          <w:p w14:paraId="5217B052" w14:textId="77777777" w:rsidR="00931F10" w:rsidRPr="00D77DA8" w:rsidRDefault="00931F10" w:rsidP="00C83E0B">
            <w:pPr>
              <w:pStyle w:val="DHHStabletext9pt"/>
              <w:rPr>
                <w:color w:val="000000"/>
              </w:rPr>
            </w:pPr>
            <w:r w:rsidRPr="00497045">
              <w:rPr>
                <w:color w:val="000000"/>
              </w:rPr>
              <w:t>Access Community Health</w:t>
            </w:r>
          </w:p>
        </w:tc>
        <w:tc>
          <w:tcPr>
            <w:tcW w:w="301" w:type="pct"/>
            <w:hideMark/>
          </w:tcPr>
          <w:p w14:paraId="71D4175F" w14:textId="77777777" w:rsidR="00931F10" w:rsidRPr="00D77DA8" w:rsidRDefault="00931F10" w:rsidP="00C83E0B">
            <w:pPr>
              <w:pStyle w:val="DHHStabletext9pt"/>
              <w:rPr>
                <w:color w:val="000000"/>
              </w:rPr>
            </w:pPr>
            <w:r w:rsidRPr="00D77DA8">
              <w:rPr>
                <w:color w:val="000000"/>
              </w:rPr>
              <w:t>NEPHU</w:t>
            </w:r>
          </w:p>
        </w:tc>
        <w:tc>
          <w:tcPr>
            <w:tcW w:w="410" w:type="pct"/>
            <w:hideMark/>
          </w:tcPr>
          <w:p w14:paraId="709192B1"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1BB581D2" w14:textId="77777777" w:rsidR="00931F10" w:rsidRPr="00D77DA8" w:rsidRDefault="00931F10" w:rsidP="00C83E0B">
            <w:pPr>
              <w:pStyle w:val="DHHStabletext9pt"/>
              <w:rPr>
                <w:color w:val="000000"/>
              </w:rPr>
            </w:pPr>
            <w:r w:rsidRPr="00D77DA8">
              <w:rPr>
                <w:color w:val="000000"/>
              </w:rPr>
              <w:t>Yes</w:t>
            </w:r>
          </w:p>
        </w:tc>
      </w:tr>
      <w:tr w:rsidR="00C83E0B" w:rsidRPr="003A1EF9" w14:paraId="1BEDFE8F" w14:textId="77777777" w:rsidTr="00856F51">
        <w:trPr>
          <w:trHeight w:val="909"/>
        </w:trPr>
        <w:tc>
          <w:tcPr>
            <w:tcW w:w="383" w:type="pct"/>
            <w:hideMark/>
          </w:tcPr>
          <w:p w14:paraId="0A6B0C77" w14:textId="77777777" w:rsidR="00931F10" w:rsidRPr="00D77DA8" w:rsidRDefault="00931F10" w:rsidP="00C83E0B">
            <w:pPr>
              <w:pStyle w:val="DHHStabletext9pt"/>
            </w:pPr>
            <w:r w:rsidRPr="00D77DA8">
              <w:t>Whittlesea City</w:t>
            </w:r>
          </w:p>
        </w:tc>
        <w:tc>
          <w:tcPr>
            <w:tcW w:w="2209" w:type="pct"/>
            <w:hideMark/>
          </w:tcPr>
          <w:p w14:paraId="47C9D845" w14:textId="77777777" w:rsidR="00931F10" w:rsidRPr="00D77DA8" w:rsidRDefault="00931F10" w:rsidP="00C83E0B">
            <w:pPr>
              <w:pStyle w:val="DHHStabletext9pt"/>
              <w:rPr>
                <w:color w:val="000000"/>
              </w:rPr>
            </w:pPr>
            <w:r w:rsidRPr="00D77DA8">
              <w:rPr>
                <w:color w:val="000000"/>
              </w:rPr>
              <w:t>Beveridge (Part), Bundoora (Part), Donnybrook, Doreen (Part), Eden Park, Epping, Humevale, Kinglake West (Part), Lalor, Mernda, Mill Park, South Morang, Thomastown, Whittlesea, Wollert, Woodstock And Yan Yean (Part).</w:t>
            </w:r>
          </w:p>
        </w:tc>
        <w:tc>
          <w:tcPr>
            <w:tcW w:w="328" w:type="pct"/>
            <w:hideMark/>
          </w:tcPr>
          <w:p w14:paraId="257A9AE5" w14:textId="77777777" w:rsidR="00931F10" w:rsidRPr="00D77DA8" w:rsidRDefault="00931F10" w:rsidP="00C83E0B">
            <w:pPr>
              <w:pStyle w:val="DHHStabletext9pt"/>
              <w:rPr>
                <w:color w:val="000000"/>
              </w:rPr>
            </w:pPr>
            <w:r w:rsidRPr="00D77DA8">
              <w:rPr>
                <w:color w:val="000000"/>
              </w:rPr>
              <w:t xml:space="preserve">North East Melbourne  </w:t>
            </w:r>
          </w:p>
        </w:tc>
        <w:tc>
          <w:tcPr>
            <w:tcW w:w="321" w:type="pct"/>
            <w:hideMark/>
          </w:tcPr>
          <w:p w14:paraId="6B951622" w14:textId="77777777" w:rsidR="00931F10" w:rsidRPr="00D77DA8" w:rsidRDefault="00931F10" w:rsidP="00C83E0B">
            <w:pPr>
              <w:pStyle w:val="DHHStabletext9pt"/>
              <w:rPr>
                <w:color w:val="000000"/>
              </w:rPr>
            </w:pPr>
            <w:r w:rsidRPr="00D77DA8">
              <w:rPr>
                <w:color w:val="000000"/>
              </w:rPr>
              <w:t xml:space="preserve">North </w:t>
            </w:r>
          </w:p>
        </w:tc>
        <w:tc>
          <w:tcPr>
            <w:tcW w:w="345" w:type="pct"/>
            <w:hideMark/>
          </w:tcPr>
          <w:p w14:paraId="517F197A" w14:textId="77777777" w:rsidR="00931F10" w:rsidRPr="00D77DA8" w:rsidRDefault="00931F10" w:rsidP="00C83E0B">
            <w:pPr>
              <w:pStyle w:val="DHHStabletext9pt"/>
              <w:rPr>
                <w:color w:val="000000"/>
              </w:rPr>
            </w:pPr>
            <w:r w:rsidRPr="00D77DA8">
              <w:rPr>
                <w:color w:val="000000"/>
              </w:rPr>
              <w:t>North East Mebourne</w:t>
            </w:r>
          </w:p>
        </w:tc>
        <w:tc>
          <w:tcPr>
            <w:tcW w:w="330" w:type="pct"/>
            <w:hideMark/>
          </w:tcPr>
          <w:p w14:paraId="1401325E" w14:textId="77777777" w:rsidR="00931F10" w:rsidRPr="00D77DA8" w:rsidRDefault="00931F10" w:rsidP="00C83E0B">
            <w:pPr>
              <w:pStyle w:val="DHHStabletext9pt"/>
              <w:rPr>
                <w:color w:val="000000"/>
              </w:rPr>
            </w:pPr>
            <w:r w:rsidRPr="00497045">
              <w:rPr>
                <w:color w:val="000000"/>
              </w:rPr>
              <w:t>DPV Health</w:t>
            </w:r>
          </w:p>
        </w:tc>
        <w:tc>
          <w:tcPr>
            <w:tcW w:w="301" w:type="pct"/>
            <w:hideMark/>
          </w:tcPr>
          <w:p w14:paraId="0CF5F9D9" w14:textId="77777777" w:rsidR="00931F10" w:rsidRPr="00D77DA8" w:rsidRDefault="00931F10" w:rsidP="00C83E0B">
            <w:pPr>
              <w:pStyle w:val="DHHStabletext9pt"/>
              <w:rPr>
                <w:color w:val="000000"/>
              </w:rPr>
            </w:pPr>
            <w:r w:rsidRPr="00D77DA8">
              <w:rPr>
                <w:color w:val="000000"/>
              </w:rPr>
              <w:t>NEPHU</w:t>
            </w:r>
          </w:p>
        </w:tc>
        <w:tc>
          <w:tcPr>
            <w:tcW w:w="410" w:type="pct"/>
            <w:hideMark/>
          </w:tcPr>
          <w:p w14:paraId="537EA810"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hideMark/>
          </w:tcPr>
          <w:p w14:paraId="3D024A6D" w14:textId="77777777" w:rsidR="00931F10" w:rsidRPr="00D77DA8" w:rsidRDefault="00931F10" w:rsidP="00C83E0B">
            <w:pPr>
              <w:pStyle w:val="DHHStabletext9pt"/>
              <w:rPr>
                <w:color w:val="000000"/>
              </w:rPr>
            </w:pPr>
            <w:r w:rsidRPr="00D77DA8">
              <w:rPr>
                <w:color w:val="000000"/>
              </w:rPr>
              <w:t>Yes</w:t>
            </w:r>
          </w:p>
        </w:tc>
      </w:tr>
      <w:tr w:rsidR="00C83E0B" w:rsidRPr="003A1EF9" w14:paraId="1FCA243B" w14:textId="77777777" w:rsidTr="00856F51">
        <w:trPr>
          <w:trHeight w:val="628"/>
        </w:trPr>
        <w:tc>
          <w:tcPr>
            <w:tcW w:w="383" w:type="pct"/>
            <w:hideMark/>
          </w:tcPr>
          <w:p w14:paraId="144B67F4" w14:textId="77777777" w:rsidR="00931F10" w:rsidRPr="00D77DA8" w:rsidRDefault="00931F10" w:rsidP="00C83E0B">
            <w:pPr>
              <w:pStyle w:val="DHHStabletext9pt"/>
            </w:pPr>
            <w:r w:rsidRPr="00D77DA8">
              <w:t>Wodonga City</w:t>
            </w:r>
          </w:p>
        </w:tc>
        <w:tc>
          <w:tcPr>
            <w:tcW w:w="2209" w:type="pct"/>
            <w:hideMark/>
          </w:tcPr>
          <w:p w14:paraId="2BDFB15E" w14:textId="77777777" w:rsidR="00931F10" w:rsidRPr="00D77DA8" w:rsidRDefault="00931F10" w:rsidP="00C83E0B">
            <w:pPr>
              <w:pStyle w:val="DHHStabletext9pt"/>
            </w:pPr>
            <w:r w:rsidRPr="00D77DA8">
              <w:t>Bandiana, Baranduda, Barnawartha North, Bonegilla, Castle Creek, Ebden, Gateway Island, Hume Weir, Huon Creek, Killara, Leneva, Staghorn Flat, Wodonga And Wodonga West </w:t>
            </w:r>
          </w:p>
        </w:tc>
        <w:tc>
          <w:tcPr>
            <w:tcW w:w="328" w:type="pct"/>
            <w:hideMark/>
          </w:tcPr>
          <w:p w14:paraId="3FA41FB1" w14:textId="77777777" w:rsidR="00931F10" w:rsidRPr="00D77DA8" w:rsidRDefault="00931F10" w:rsidP="00C83E0B">
            <w:pPr>
              <w:pStyle w:val="DHHStabletext9pt"/>
              <w:rPr>
                <w:color w:val="000000"/>
              </w:rPr>
            </w:pPr>
            <w:r w:rsidRPr="00D77DA8">
              <w:rPr>
                <w:color w:val="000000"/>
              </w:rPr>
              <w:t>Ovens Murray</w:t>
            </w:r>
          </w:p>
        </w:tc>
        <w:tc>
          <w:tcPr>
            <w:tcW w:w="321" w:type="pct"/>
            <w:hideMark/>
          </w:tcPr>
          <w:p w14:paraId="16609A27" w14:textId="77777777" w:rsidR="00931F10" w:rsidRPr="00D77DA8" w:rsidRDefault="00931F10" w:rsidP="00C83E0B">
            <w:pPr>
              <w:pStyle w:val="DHHStabletext9pt"/>
              <w:rPr>
                <w:color w:val="000000"/>
              </w:rPr>
            </w:pPr>
            <w:r w:rsidRPr="00D77DA8">
              <w:rPr>
                <w:color w:val="000000"/>
              </w:rPr>
              <w:t>East</w:t>
            </w:r>
          </w:p>
        </w:tc>
        <w:tc>
          <w:tcPr>
            <w:tcW w:w="345" w:type="pct"/>
            <w:hideMark/>
          </w:tcPr>
          <w:p w14:paraId="13067D46" w14:textId="77777777" w:rsidR="00931F10" w:rsidRPr="00D77DA8" w:rsidRDefault="00931F10" w:rsidP="00C83E0B">
            <w:pPr>
              <w:pStyle w:val="DHHStabletext9pt"/>
              <w:rPr>
                <w:color w:val="000000"/>
              </w:rPr>
            </w:pPr>
            <w:r w:rsidRPr="00D77DA8">
              <w:rPr>
                <w:color w:val="000000"/>
              </w:rPr>
              <w:t>Ovens Murray</w:t>
            </w:r>
          </w:p>
        </w:tc>
        <w:tc>
          <w:tcPr>
            <w:tcW w:w="330" w:type="pct"/>
            <w:hideMark/>
          </w:tcPr>
          <w:p w14:paraId="7B009542" w14:textId="77777777" w:rsidR="00931F10" w:rsidRPr="00D77DA8" w:rsidRDefault="00931F10" w:rsidP="00C83E0B">
            <w:pPr>
              <w:pStyle w:val="DHHStabletext9pt"/>
              <w:rPr>
                <w:color w:val="000000"/>
              </w:rPr>
            </w:pPr>
            <w:r w:rsidRPr="00D8579D">
              <w:rPr>
                <w:color w:val="000000"/>
              </w:rPr>
              <w:t>Gateway Health</w:t>
            </w:r>
          </w:p>
        </w:tc>
        <w:tc>
          <w:tcPr>
            <w:tcW w:w="301" w:type="pct"/>
            <w:hideMark/>
          </w:tcPr>
          <w:p w14:paraId="606AF2F8" w14:textId="77777777" w:rsidR="00931F10" w:rsidRPr="00D77DA8" w:rsidRDefault="00931F10" w:rsidP="00C83E0B">
            <w:pPr>
              <w:pStyle w:val="DHHStabletext9pt"/>
              <w:rPr>
                <w:color w:val="000000"/>
              </w:rPr>
            </w:pPr>
            <w:r w:rsidRPr="00D77DA8">
              <w:rPr>
                <w:color w:val="000000"/>
              </w:rPr>
              <w:t>Albury Wodonga Health</w:t>
            </w:r>
          </w:p>
        </w:tc>
        <w:tc>
          <w:tcPr>
            <w:tcW w:w="410" w:type="pct"/>
            <w:hideMark/>
          </w:tcPr>
          <w:p w14:paraId="01F806D0" w14:textId="77777777" w:rsidR="00931F10" w:rsidRPr="00D77DA8" w:rsidRDefault="00931F10" w:rsidP="00C83E0B">
            <w:pPr>
              <w:pStyle w:val="DHHStabletext9pt"/>
              <w:rPr>
                <w:color w:val="000000"/>
              </w:rPr>
            </w:pPr>
            <w:r w:rsidRPr="00D77DA8">
              <w:rPr>
                <w:color w:val="000000"/>
              </w:rPr>
              <w:t>Hume - Goulburn Valley Health</w:t>
            </w:r>
          </w:p>
        </w:tc>
        <w:tc>
          <w:tcPr>
            <w:tcW w:w="373" w:type="pct"/>
            <w:hideMark/>
          </w:tcPr>
          <w:p w14:paraId="232A1090" w14:textId="77777777" w:rsidR="00931F10" w:rsidRPr="00D77DA8" w:rsidRDefault="00931F10" w:rsidP="00C83E0B">
            <w:pPr>
              <w:pStyle w:val="DHHStabletext9pt"/>
              <w:rPr>
                <w:color w:val="000000"/>
              </w:rPr>
            </w:pPr>
            <w:r w:rsidRPr="00D77DA8">
              <w:rPr>
                <w:color w:val="000000"/>
              </w:rPr>
              <w:t>Yes</w:t>
            </w:r>
          </w:p>
        </w:tc>
      </w:tr>
      <w:tr w:rsidR="00C83E0B" w:rsidRPr="003A1EF9" w14:paraId="101B62D0" w14:textId="77777777" w:rsidTr="00856F51">
        <w:trPr>
          <w:trHeight w:val="598"/>
        </w:trPr>
        <w:tc>
          <w:tcPr>
            <w:tcW w:w="383" w:type="pct"/>
            <w:hideMark/>
          </w:tcPr>
          <w:p w14:paraId="28DCB397" w14:textId="77777777" w:rsidR="00931F10" w:rsidRPr="00D77DA8" w:rsidRDefault="00931F10" w:rsidP="00C83E0B">
            <w:pPr>
              <w:pStyle w:val="DHHStabletext9pt"/>
            </w:pPr>
            <w:r w:rsidRPr="00D77DA8">
              <w:t>Wyndham City</w:t>
            </w:r>
          </w:p>
        </w:tc>
        <w:tc>
          <w:tcPr>
            <w:tcW w:w="2209" w:type="pct"/>
            <w:hideMark/>
          </w:tcPr>
          <w:p w14:paraId="35E27EA0" w14:textId="77777777" w:rsidR="00931F10" w:rsidRPr="00D77DA8" w:rsidRDefault="00931F10" w:rsidP="00C83E0B">
            <w:pPr>
              <w:pStyle w:val="DHHStabletext9pt"/>
              <w:rPr>
                <w:color w:val="000000"/>
              </w:rPr>
            </w:pPr>
            <w:r w:rsidRPr="00D77DA8">
              <w:rPr>
                <w:color w:val="000000"/>
              </w:rPr>
              <w:t>Cocoroc; Eynesbury; Hoppers Crossing; Laverton; Laverton North; Little River; Mambourin; Mount Cottrell; Point Cook; Quandong; Tarneit; Truganina; Werribee; Werribee South; Williams Landing; Wyndham Vale</w:t>
            </w:r>
          </w:p>
        </w:tc>
        <w:tc>
          <w:tcPr>
            <w:tcW w:w="328" w:type="pct"/>
            <w:hideMark/>
          </w:tcPr>
          <w:p w14:paraId="4D2080A3" w14:textId="77777777" w:rsidR="00931F10" w:rsidRPr="00D77DA8" w:rsidRDefault="00931F10" w:rsidP="00C83E0B">
            <w:pPr>
              <w:pStyle w:val="DHHStabletext9pt"/>
              <w:rPr>
                <w:color w:val="000000"/>
              </w:rPr>
            </w:pPr>
            <w:r w:rsidRPr="00D77DA8">
              <w:rPr>
                <w:color w:val="000000"/>
              </w:rPr>
              <w:t>Western Melbourne</w:t>
            </w:r>
          </w:p>
        </w:tc>
        <w:tc>
          <w:tcPr>
            <w:tcW w:w="321" w:type="pct"/>
            <w:hideMark/>
          </w:tcPr>
          <w:p w14:paraId="72F3D61D"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0F69FBC4" w14:textId="77777777" w:rsidR="00931F10" w:rsidRPr="00D77DA8" w:rsidRDefault="00931F10" w:rsidP="00C83E0B">
            <w:pPr>
              <w:pStyle w:val="DHHStabletext9pt"/>
              <w:rPr>
                <w:color w:val="000000"/>
              </w:rPr>
            </w:pPr>
            <w:r w:rsidRPr="00D77DA8">
              <w:rPr>
                <w:color w:val="000000"/>
              </w:rPr>
              <w:t>Western Melbourne</w:t>
            </w:r>
          </w:p>
        </w:tc>
        <w:tc>
          <w:tcPr>
            <w:tcW w:w="330" w:type="pct"/>
            <w:hideMark/>
          </w:tcPr>
          <w:p w14:paraId="6FEC50F6" w14:textId="77777777" w:rsidR="00931F10" w:rsidRPr="00D77DA8" w:rsidRDefault="00931F10" w:rsidP="00C83E0B">
            <w:pPr>
              <w:pStyle w:val="DHHStabletext9pt"/>
              <w:rPr>
                <w:color w:val="000000"/>
              </w:rPr>
            </w:pPr>
            <w:r w:rsidRPr="00D8579D">
              <w:rPr>
                <w:color w:val="000000"/>
              </w:rPr>
              <w:t>cohealth</w:t>
            </w:r>
          </w:p>
        </w:tc>
        <w:tc>
          <w:tcPr>
            <w:tcW w:w="301" w:type="pct"/>
            <w:hideMark/>
          </w:tcPr>
          <w:p w14:paraId="57EAE780" w14:textId="77777777" w:rsidR="00931F10" w:rsidRPr="00D77DA8" w:rsidRDefault="00931F10" w:rsidP="00C83E0B">
            <w:pPr>
              <w:pStyle w:val="DHHStabletext9pt"/>
              <w:rPr>
                <w:color w:val="000000"/>
              </w:rPr>
            </w:pPr>
            <w:r w:rsidRPr="00D77DA8">
              <w:rPr>
                <w:color w:val="000000"/>
              </w:rPr>
              <w:t>WEPHU</w:t>
            </w:r>
          </w:p>
        </w:tc>
        <w:tc>
          <w:tcPr>
            <w:tcW w:w="410" w:type="pct"/>
            <w:hideMark/>
          </w:tcPr>
          <w:p w14:paraId="69BFF655" w14:textId="77777777" w:rsidR="00931F10" w:rsidRPr="00D77DA8" w:rsidRDefault="00931F10" w:rsidP="00C83E0B">
            <w:pPr>
              <w:pStyle w:val="DHHStabletext9pt"/>
              <w:rPr>
                <w:color w:val="000000"/>
              </w:rPr>
            </w:pPr>
            <w:r w:rsidRPr="00D77DA8">
              <w:rPr>
                <w:color w:val="000000"/>
              </w:rPr>
              <w:t>West Metro - Lead - Melbourne Health</w:t>
            </w:r>
          </w:p>
        </w:tc>
        <w:tc>
          <w:tcPr>
            <w:tcW w:w="373" w:type="pct"/>
            <w:hideMark/>
          </w:tcPr>
          <w:p w14:paraId="045A1D1C" w14:textId="77777777" w:rsidR="00931F10" w:rsidRPr="00D77DA8" w:rsidRDefault="00931F10" w:rsidP="00C83E0B">
            <w:pPr>
              <w:pStyle w:val="DHHStabletext9pt"/>
              <w:rPr>
                <w:color w:val="000000"/>
              </w:rPr>
            </w:pPr>
            <w:r w:rsidRPr="00D77DA8">
              <w:rPr>
                <w:color w:val="000000"/>
              </w:rPr>
              <w:t>Yes</w:t>
            </w:r>
          </w:p>
        </w:tc>
      </w:tr>
      <w:tr w:rsidR="00C83E0B" w:rsidRPr="003A1EF9" w14:paraId="30357F00" w14:textId="77777777" w:rsidTr="00856F51">
        <w:trPr>
          <w:trHeight w:val="359"/>
        </w:trPr>
        <w:tc>
          <w:tcPr>
            <w:tcW w:w="383" w:type="pct"/>
            <w:shd w:val="clear" w:color="auto" w:fill="FFFFFF" w:themeFill="background1"/>
            <w:hideMark/>
          </w:tcPr>
          <w:p w14:paraId="05AA7C6A" w14:textId="77777777" w:rsidR="00931F10" w:rsidRPr="00D77DA8" w:rsidRDefault="00931F10" w:rsidP="00C83E0B">
            <w:pPr>
              <w:pStyle w:val="DHHStabletext9pt"/>
            </w:pPr>
            <w:r w:rsidRPr="00D77DA8">
              <w:t>Yarra City</w:t>
            </w:r>
          </w:p>
        </w:tc>
        <w:tc>
          <w:tcPr>
            <w:tcW w:w="2209" w:type="pct"/>
            <w:shd w:val="clear" w:color="auto" w:fill="FFFFFF" w:themeFill="background1"/>
            <w:hideMark/>
          </w:tcPr>
          <w:p w14:paraId="7873A07B" w14:textId="77777777" w:rsidR="00931F10" w:rsidRPr="00D77DA8" w:rsidRDefault="00931F10" w:rsidP="00C83E0B">
            <w:pPr>
              <w:pStyle w:val="DHHStabletext9pt"/>
              <w:rPr>
                <w:color w:val="000000"/>
              </w:rPr>
            </w:pPr>
            <w:r w:rsidRPr="00D77DA8">
              <w:rPr>
                <w:color w:val="000000"/>
              </w:rPr>
              <w:t>Abbotsford, Alphington (Part), Burnley, Carlton North (Part), Clifton Hill, Collingwood, Cremorne, Fairfield (Part), Fitzroy, Fitzroy North (Part), Princes Hill And Richmond.</w:t>
            </w:r>
          </w:p>
        </w:tc>
        <w:tc>
          <w:tcPr>
            <w:tcW w:w="328" w:type="pct"/>
            <w:shd w:val="clear" w:color="auto" w:fill="FFFFFF" w:themeFill="background1"/>
            <w:hideMark/>
          </w:tcPr>
          <w:p w14:paraId="06E094CF" w14:textId="77777777" w:rsidR="00931F10" w:rsidRPr="00D77DA8" w:rsidRDefault="00931F10" w:rsidP="00C83E0B">
            <w:pPr>
              <w:pStyle w:val="DHHStabletext9pt"/>
              <w:rPr>
                <w:color w:val="000000"/>
              </w:rPr>
            </w:pPr>
            <w:r w:rsidRPr="00D77DA8">
              <w:rPr>
                <w:color w:val="000000"/>
              </w:rPr>
              <w:t xml:space="preserve">North East Melbourne </w:t>
            </w:r>
          </w:p>
        </w:tc>
        <w:tc>
          <w:tcPr>
            <w:tcW w:w="321" w:type="pct"/>
            <w:shd w:val="clear" w:color="auto" w:fill="FFFFFF" w:themeFill="background1"/>
            <w:hideMark/>
          </w:tcPr>
          <w:p w14:paraId="70B98211" w14:textId="77777777" w:rsidR="00931F10" w:rsidRPr="00D77DA8" w:rsidRDefault="00931F10" w:rsidP="00C83E0B">
            <w:pPr>
              <w:pStyle w:val="DHHStabletext9pt"/>
              <w:rPr>
                <w:color w:val="000000"/>
              </w:rPr>
            </w:pPr>
            <w:r w:rsidRPr="00D77DA8">
              <w:rPr>
                <w:color w:val="000000"/>
              </w:rPr>
              <w:t>North</w:t>
            </w:r>
          </w:p>
        </w:tc>
        <w:tc>
          <w:tcPr>
            <w:tcW w:w="345" w:type="pct"/>
            <w:shd w:val="clear" w:color="auto" w:fill="FFFFFF" w:themeFill="background1"/>
            <w:hideMark/>
          </w:tcPr>
          <w:p w14:paraId="17BFC136" w14:textId="77777777" w:rsidR="00931F10" w:rsidRPr="00D77DA8" w:rsidRDefault="00931F10" w:rsidP="00C83E0B">
            <w:pPr>
              <w:pStyle w:val="DHHStabletext9pt"/>
              <w:rPr>
                <w:rFonts w:cstheme="minorBidi"/>
                <w:color w:val="000000"/>
              </w:rPr>
            </w:pPr>
            <w:r w:rsidRPr="76CA946F">
              <w:rPr>
                <w:rFonts w:cstheme="minorBidi"/>
                <w:color w:val="000000" w:themeColor="text1"/>
              </w:rPr>
              <w:t>Yarra, (Fitzroy Collingwoo)</w:t>
            </w:r>
          </w:p>
        </w:tc>
        <w:tc>
          <w:tcPr>
            <w:tcW w:w="330" w:type="pct"/>
            <w:hideMark/>
          </w:tcPr>
          <w:p w14:paraId="3263F1FC" w14:textId="77777777" w:rsidR="00931F10" w:rsidRPr="00D77DA8" w:rsidRDefault="00931F10" w:rsidP="00C83E0B">
            <w:pPr>
              <w:pStyle w:val="DHHStabletext9pt"/>
              <w:rPr>
                <w:color w:val="000000"/>
              </w:rPr>
            </w:pPr>
            <w:r w:rsidRPr="00D8579D">
              <w:rPr>
                <w:color w:val="000000"/>
              </w:rPr>
              <w:t>cohealth</w:t>
            </w:r>
          </w:p>
        </w:tc>
        <w:tc>
          <w:tcPr>
            <w:tcW w:w="301" w:type="pct"/>
            <w:hideMark/>
          </w:tcPr>
          <w:p w14:paraId="3F472152" w14:textId="77777777" w:rsidR="00931F10" w:rsidRPr="00D77DA8" w:rsidRDefault="00931F10" w:rsidP="00C83E0B">
            <w:pPr>
              <w:pStyle w:val="DHHStabletext9pt"/>
              <w:rPr>
                <w:color w:val="000000"/>
              </w:rPr>
            </w:pPr>
            <w:r w:rsidRPr="00D77DA8">
              <w:rPr>
                <w:color w:val="000000"/>
              </w:rPr>
              <w:t>NEPHU</w:t>
            </w:r>
          </w:p>
        </w:tc>
        <w:tc>
          <w:tcPr>
            <w:tcW w:w="410" w:type="pct"/>
            <w:hideMark/>
          </w:tcPr>
          <w:p w14:paraId="26D61949" w14:textId="77777777" w:rsidR="00931F10" w:rsidRPr="00D77DA8" w:rsidRDefault="00931F10" w:rsidP="00C83E0B">
            <w:pPr>
              <w:pStyle w:val="DHHStabletext9pt"/>
              <w:rPr>
                <w:color w:val="000000"/>
              </w:rPr>
            </w:pPr>
            <w:r w:rsidRPr="00D77DA8">
              <w:rPr>
                <w:color w:val="000000"/>
              </w:rPr>
              <w:t>North Metro - Lead - Austin Health</w:t>
            </w:r>
          </w:p>
        </w:tc>
        <w:tc>
          <w:tcPr>
            <w:tcW w:w="373" w:type="pct"/>
            <w:hideMark/>
          </w:tcPr>
          <w:p w14:paraId="7E94DED5" w14:textId="77777777" w:rsidR="00931F10" w:rsidRPr="00D77DA8" w:rsidRDefault="00931F10" w:rsidP="00C83E0B">
            <w:pPr>
              <w:pStyle w:val="DHHStabletext9pt"/>
              <w:rPr>
                <w:color w:val="000000"/>
              </w:rPr>
            </w:pPr>
            <w:r w:rsidRPr="00D77DA8">
              <w:rPr>
                <w:color w:val="000000"/>
              </w:rPr>
              <w:t>Yes</w:t>
            </w:r>
          </w:p>
        </w:tc>
      </w:tr>
      <w:tr w:rsidR="00C83E0B" w:rsidRPr="003A1EF9" w14:paraId="52E7BF7D" w14:textId="77777777" w:rsidTr="00856F51">
        <w:trPr>
          <w:trHeight w:val="896"/>
        </w:trPr>
        <w:tc>
          <w:tcPr>
            <w:tcW w:w="383" w:type="pct"/>
            <w:shd w:val="clear" w:color="auto" w:fill="FFFFFF" w:themeFill="background1"/>
          </w:tcPr>
          <w:p w14:paraId="0F55F2F4" w14:textId="77777777" w:rsidR="00931F10" w:rsidRPr="00D77DA8" w:rsidRDefault="00931F10" w:rsidP="00C83E0B">
            <w:pPr>
              <w:pStyle w:val="DHHStabletext9pt"/>
            </w:pPr>
            <w:r w:rsidRPr="00D77DA8">
              <w:t>Yarra City</w:t>
            </w:r>
          </w:p>
        </w:tc>
        <w:tc>
          <w:tcPr>
            <w:tcW w:w="2209" w:type="pct"/>
            <w:shd w:val="clear" w:color="auto" w:fill="FFFFFF" w:themeFill="background1"/>
          </w:tcPr>
          <w:p w14:paraId="6F5626D9" w14:textId="77777777" w:rsidR="00931F10" w:rsidRPr="00D77DA8" w:rsidRDefault="00931F10" w:rsidP="00C83E0B">
            <w:pPr>
              <w:pStyle w:val="DHHStabletext9pt"/>
              <w:rPr>
                <w:color w:val="000000"/>
              </w:rPr>
            </w:pPr>
            <w:r w:rsidRPr="00261B53">
              <w:rPr>
                <w:color w:val="000000"/>
              </w:rPr>
              <w:t>Richmond</w:t>
            </w:r>
          </w:p>
        </w:tc>
        <w:tc>
          <w:tcPr>
            <w:tcW w:w="328" w:type="pct"/>
            <w:shd w:val="clear" w:color="auto" w:fill="FFFFFF" w:themeFill="background1"/>
          </w:tcPr>
          <w:p w14:paraId="571D331D" w14:textId="77777777" w:rsidR="00931F10" w:rsidRPr="00D77DA8" w:rsidRDefault="00931F10" w:rsidP="00C83E0B">
            <w:pPr>
              <w:pStyle w:val="DHHStabletext9pt"/>
              <w:rPr>
                <w:color w:val="000000"/>
              </w:rPr>
            </w:pPr>
            <w:r w:rsidRPr="00D77DA8">
              <w:rPr>
                <w:color w:val="000000"/>
              </w:rPr>
              <w:t>North East Melbourne</w:t>
            </w:r>
          </w:p>
        </w:tc>
        <w:tc>
          <w:tcPr>
            <w:tcW w:w="321" w:type="pct"/>
            <w:shd w:val="clear" w:color="auto" w:fill="FFFFFF" w:themeFill="background1"/>
          </w:tcPr>
          <w:p w14:paraId="163EC91D" w14:textId="77777777" w:rsidR="00931F10" w:rsidRPr="00D77DA8" w:rsidRDefault="00931F10" w:rsidP="00C83E0B">
            <w:pPr>
              <w:pStyle w:val="DHHStabletext9pt"/>
              <w:rPr>
                <w:color w:val="000000"/>
              </w:rPr>
            </w:pPr>
            <w:r>
              <w:rPr>
                <w:color w:val="000000"/>
              </w:rPr>
              <w:t>North</w:t>
            </w:r>
          </w:p>
        </w:tc>
        <w:tc>
          <w:tcPr>
            <w:tcW w:w="345" w:type="pct"/>
            <w:shd w:val="clear" w:color="auto" w:fill="FFFFFF" w:themeFill="background1"/>
          </w:tcPr>
          <w:p w14:paraId="01B60E64" w14:textId="77777777" w:rsidR="00931F10" w:rsidRPr="00D77DA8" w:rsidRDefault="00931F10" w:rsidP="00C83E0B">
            <w:pPr>
              <w:pStyle w:val="DHHStabletext9pt"/>
              <w:rPr>
                <w:color w:val="000000"/>
              </w:rPr>
            </w:pPr>
            <w:r w:rsidRPr="00690C2A">
              <w:rPr>
                <w:color w:val="000000"/>
              </w:rPr>
              <w:t>Yarra, (Richmond)</w:t>
            </w:r>
          </w:p>
        </w:tc>
        <w:tc>
          <w:tcPr>
            <w:tcW w:w="330" w:type="pct"/>
          </w:tcPr>
          <w:p w14:paraId="4052D64A" w14:textId="77777777" w:rsidR="00931F10" w:rsidRPr="00D8579D" w:rsidRDefault="00931F10" w:rsidP="00C83E0B">
            <w:pPr>
              <w:pStyle w:val="DHHStabletext9pt"/>
              <w:rPr>
                <w:color w:val="000000"/>
              </w:rPr>
            </w:pPr>
            <w:r w:rsidRPr="00690C2A">
              <w:rPr>
                <w:color w:val="000000"/>
              </w:rPr>
              <w:t>North Richmond Community Health</w:t>
            </w:r>
          </w:p>
        </w:tc>
        <w:tc>
          <w:tcPr>
            <w:tcW w:w="301" w:type="pct"/>
          </w:tcPr>
          <w:p w14:paraId="44F3A50F" w14:textId="77777777" w:rsidR="00931F10" w:rsidRPr="00D77DA8" w:rsidRDefault="00931F10" w:rsidP="00C83E0B">
            <w:pPr>
              <w:pStyle w:val="DHHStabletext9pt"/>
              <w:rPr>
                <w:color w:val="000000"/>
              </w:rPr>
            </w:pPr>
            <w:r w:rsidRPr="00D77DA8">
              <w:rPr>
                <w:color w:val="000000"/>
              </w:rPr>
              <w:t>NEPHU</w:t>
            </w:r>
          </w:p>
        </w:tc>
        <w:tc>
          <w:tcPr>
            <w:tcW w:w="410" w:type="pct"/>
          </w:tcPr>
          <w:p w14:paraId="52100890" w14:textId="77777777" w:rsidR="00931F10" w:rsidRPr="00D77DA8" w:rsidRDefault="00931F10" w:rsidP="00C83E0B">
            <w:pPr>
              <w:pStyle w:val="DHHStabletext9pt"/>
              <w:rPr>
                <w:color w:val="000000"/>
              </w:rPr>
            </w:pPr>
            <w:r w:rsidRPr="00690C2A">
              <w:rPr>
                <w:color w:val="000000"/>
              </w:rPr>
              <w:t>North Metro - Lead - Austin Health</w:t>
            </w:r>
          </w:p>
        </w:tc>
        <w:tc>
          <w:tcPr>
            <w:tcW w:w="373" w:type="pct"/>
          </w:tcPr>
          <w:p w14:paraId="4C256D87" w14:textId="77777777" w:rsidR="00931F10" w:rsidRPr="00D77DA8" w:rsidRDefault="00931F10" w:rsidP="00C83E0B">
            <w:pPr>
              <w:pStyle w:val="DHHStabletext9pt"/>
              <w:rPr>
                <w:color w:val="000000"/>
              </w:rPr>
            </w:pPr>
            <w:r>
              <w:rPr>
                <w:color w:val="000000"/>
              </w:rPr>
              <w:t>Yes</w:t>
            </w:r>
          </w:p>
        </w:tc>
      </w:tr>
      <w:tr w:rsidR="00C83E0B" w:rsidRPr="003A1EF9" w14:paraId="16AAAE59" w14:textId="77777777" w:rsidTr="00856F51">
        <w:trPr>
          <w:trHeight w:val="900"/>
        </w:trPr>
        <w:tc>
          <w:tcPr>
            <w:tcW w:w="383" w:type="pct"/>
            <w:shd w:val="clear" w:color="auto" w:fill="auto"/>
            <w:hideMark/>
          </w:tcPr>
          <w:p w14:paraId="1FAA0A62" w14:textId="77777777" w:rsidR="00931F10" w:rsidRPr="00D77DA8" w:rsidRDefault="00931F10" w:rsidP="00C83E0B">
            <w:pPr>
              <w:pStyle w:val="DHHStabletext9pt"/>
            </w:pPr>
            <w:r w:rsidRPr="00D77DA8">
              <w:t>Yarra Ranges Shire</w:t>
            </w:r>
          </w:p>
        </w:tc>
        <w:tc>
          <w:tcPr>
            <w:tcW w:w="2209" w:type="pct"/>
            <w:shd w:val="clear" w:color="auto" w:fill="auto"/>
            <w:hideMark/>
          </w:tcPr>
          <w:p w14:paraId="595D21A0" w14:textId="77777777" w:rsidR="00931F10" w:rsidRPr="00D77DA8" w:rsidRDefault="00931F10" w:rsidP="00C83E0B">
            <w:pPr>
              <w:pStyle w:val="DHHStabletext9pt"/>
            </w:pPr>
            <w:r w:rsidRPr="00D77DA8">
              <w:t>Narree Warren East</w:t>
            </w:r>
          </w:p>
        </w:tc>
        <w:tc>
          <w:tcPr>
            <w:tcW w:w="328" w:type="pct"/>
            <w:shd w:val="clear" w:color="auto" w:fill="auto"/>
            <w:hideMark/>
          </w:tcPr>
          <w:p w14:paraId="64DFD0AA" w14:textId="77777777" w:rsidR="00931F10" w:rsidRPr="00D77DA8" w:rsidRDefault="00931F10" w:rsidP="00C83E0B">
            <w:pPr>
              <w:pStyle w:val="DHHStabletext9pt"/>
              <w:rPr>
                <w:color w:val="000000"/>
              </w:rPr>
            </w:pPr>
            <w:r w:rsidRPr="00D77DA8">
              <w:rPr>
                <w:color w:val="000000"/>
              </w:rPr>
              <w:t>Outer Eastern</w:t>
            </w:r>
          </w:p>
        </w:tc>
        <w:tc>
          <w:tcPr>
            <w:tcW w:w="321" w:type="pct"/>
            <w:shd w:val="clear" w:color="auto" w:fill="auto"/>
            <w:hideMark/>
          </w:tcPr>
          <w:p w14:paraId="7954E5EB" w14:textId="77777777" w:rsidR="00931F10" w:rsidRPr="00D77DA8" w:rsidRDefault="00931F10" w:rsidP="00C83E0B">
            <w:pPr>
              <w:pStyle w:val="DHHStabletext9pt"/>
              <w:rPr>
                <w:color w:val="000000"/>
              </w:rPr>
            </w:pPr>
            <w:r w:rsidRPr="00D77DA8">
              <w:rPr>
                <w:color w:val="000000"/>
              </w:rPr>
              <w:t>East</w:t>
            </w:r>
          </w:p>
        </w:tc>
        <w:tc>
          <w:tcPr>
            <w:tcW w:w="345" w:type="pct"/>
            <w:shd w:val="clear" w:color="auto" w:fill="auto"/>
            <w:hideMark/>
          </w:tcPr>
          <w:p w14:paraId="4905523F" w14:textId="77777777" w:rsidR="00931F10" w:rsidRPr="00D77DA8" w:rsidRDefault="00931F10" w:rsidP="00C83E0B">
            <w:pPr>
              <w:pStyle w:val="DHHStabletext9pt"/>
              <w:rPr>
                <w:color w:val="000000"/>
              </w:rPr>
            </w:pPr>
            <w:r w:rsidRPr="00D77DA8">
              <w:rPr>
                <w:color w:val="000000"/>
              </w:rPr>
              <w:t>Outer Eastern</w:t>
            </w:r>
          </w:p>
        </w:tc>
        <w:tc>
          <w:tcPr>
            <w:tcW w:w="330" w:type="pct"/>
            <w:shd w:val="clear" w:color="auto" w:fill="auto"/>
            <w:hideMark/>
          </w:tcPr>
          <w:p w14:paraId="6C3107B0" w14:textId="77777777" w:rsidR="00931F10" w:rsidRPr="000D71C6" w:rsidRDefault="00931F10" w:rsidP="00C83E0B">
            <w:pPr>
              <w:pStyle w:val="DHHStabletext9pt"/>
              <w:rPr>
                <w:color w:val="000000"/>
              </w:rPr>
            </w:pPr>
            <w:r w:rsidRPr="000D71C6">
              <w:rPr>
                <w:color w:val="000000"/>
              </w:rPr>
              <w:t>EACH</w:t>
            </w:r>
          </w:p>
        </w:tc>
        <w:tc>
          <w:tcPr>
            <w:tcW w:w="301" w:type="pct"/>
            <w:shd w:val="clear" w:color="auto" w:fill="auto"/>
            <w:hideMark/>
          </w:tcPr>
          <w:p w14:paraId="3000CBBF" w14:textId="77777777" w:rsidR="00931F10" w:rsidRPr="00D77DA8" w:rsidRDefault="00931F10" w:rsidP="00C83E0B">
            <w:pPr>
              <w:pStyle w:val="DHHStabletext9pt"/>
              <w:rPr>
                <w:color w:val="000000"/>
              </w:rPr>
            </w:pPr>
            <w:r w:rsidRPr="00D77DA8">
              <w:rPr>
                <w:color w:val="000000"/>
              </w:rPr>
              <w:t>SEPHU</w:t>
            </w:r>
          </w:p>
        </w:tc>
        <w:tc>
          <w:tcPr>
            <w:tcW w:w="410" w:type="pct"/>
            <w:shd w:val="clear" w:color="auto" w:fill="auto"/>
            <w:hideMark/>
          </w:tcPr>
          <w:p w14:paraId="29952BF0"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5AC36FF3" w14:textId="77777777" w:rsidR="00931F10" w:rsidRPr="00D77DA8" w:rsidRDefault="00931F10" w:rsidP="00C83E0B">
            <w:pPr>
              <w:pStyle w:val="DHHStabletext9pt"/>
              <w:rPr>
                <w:color w:val="000000"/>
              </w:rPr>
            </w:pPr>
            <w:r w:rsidRPr="00D77DA8">
              <w:rPr>
                <w:color w:val="000000"/>
              </w:rPr>
              <w:t>Yes</w:t>
            </w:r>
          </w:p>
        </w:tc>
      </w:tr>
      <w:tr w:rsidR="00C83E0B" w:rsidRPr="003A1EF9" w14:paraId="23164EA3" w14:textId="77777777" w:rsidTr="00856F51">
        <w:trPr>
          <w:trHeight w:val="1845"/>
        </w:trPr>
        <w:tc>
          <w:tcPr>
            <w:tcW w:w="383" w:type="pct"/>
            <w:shd w:val="clear" w:color="auto" w:fill="auto"/>
            <w:hideMark/>
          </w:tcPr>
          <w:p w14:paraId="2CEF437B" w14:textId="77777777" w:rsidR="00931F10" w:rsidRPr="00D77DA8" w:rsidRDefault="00931F10" w:rsidP="00C83E0B">
            <w:pPr>
              <w:pStyle w:val="DHHStabletext9pt"/>
            </w:pPr>
            <w:r w:rsidRPr="00D77DA8">
              <w:lastRenderedPageBreak/>
              <w:t>Yarra Ranges Shire</w:t>
            </w:r>
          </w:p>
        </w:tc>
        <w:tc>
          <w:tcPr>
            <w:tcW w:w="2209" w:type="pct"/>
            <w:shd w:val="clear" w:color="auto" w:fill="auto"/>
            <w:hideMark/>
          </w:tcPr>
          <w:p w14:paraId="71FC9388" w14:textId="77777777" w:rsidR="00931F10" w:rsidRPr="00D77DA8" w:rsidRDefault="00931F10" w:rsidP="00C83E0B">
            <w:pPr>
              <w:pStyle w:val="DHHStabletext9pt"/>
            </w:pPr>
            <w:r w:rsidRPr="00D77DA8">
              <w:t>Badger Creek, Beenak, Belgrave, Belgrave Heights, Belgrave South, Big Pats Creek, Cambarville, Chirnside Park, Chum Creek, Clematis, Coldstream, Dixons Creek, Don Valley, Emerald, Fernshaw, Ferny Creek, Gilderoy, Gladysdale, Gruyere, Healesville, Hoddles Creek, Kallista, Kalorama, Kilsyth, Launching Place, Lilydale, Lysterfield, Macclesfield, Matlock, Mcmahons Creek, Menzies Creek, Millgrove, Monbulk, Montrose, Mooroolbark, Mount Dandenong, Mount Evelyn, Mount Toolebewong, Olinda, Powelltown, Reefton, Sassafras, Selby, Seville, Seville East, Sherbrooke, Silvan, Steels Creek, Tarrawarra, Tecoma, The Patch, Three Bridges, Toolangi, Toorongo, Tremont, Upper Ferntree Gully, Upwey, Wandin East, Wandin North, Warburton, Warburton East, Wesburn, Woori Yallock, Yarra Glen, Yarra Junction, Yellingbo, Yering</w:t>
            </w:r>
          </w:p>
        </w:tc>
        <w:tc>
          <w:tcPr>
            <w:tcW w:w="328" w:type="pct"/>
            <w:shd w:val="clear" w:color="auto" w:fill="auto"/>
            <w:hideMark/>
          </w:tcPr>
          <w:p w14:paraId="01B4BE0C" w14:textId="77777777" w:rsidR="00931F10" w:rsidRPr="00D77DA8" w:rsidRDefault="00931F10" w:rsidP="00C83E0B">
            <w:pPr>
              <w:pStyle w:val="DHHStabletext9pt"/>
              <w:rPr>
                <w:color w:val="000000"/>
              </w:rPr>
            </w:pPr>
            <w:r w:rsidRPr="00D77DA8">
              <w:rPr>
                <w:color w:val="000000"/>
              </w:rPr>
              <w:t>Outer Eastern</w:t>
            </w:r>
          </w:p>
        </w:tc>
        <w:tc>
          <w:tcPr>
            <w:tcW w:w="321" w:type="pct"/>
            <w:shd w:val="clear" w:color="auto" w:fill="auto"/>
            <w:hideMark/>
          </w:tcPr>
          <w:p w14:paraId="0DEB8CBB" w14:textId="77777777" w:rsidR="00931F10" w:rsidRPr="00D77DA8" w:rsidRDefault="00931F10" w:rsidP="00C83E0B">
            <w:pPr>
              <w:pStyle w:val="DHHStabletext9pt"/>
              <w:rPr>
                <w:color w:val="000000"/>
              </w:rPr>
            </w:pPr>
            <w:r w:rsidRPr="00D77DA8">
              <w:rPr>
                <w:color w:val="000000"/>
              </w:rPr>
              <w:t>East</w:t>
            </w:r>
          </w:p>
        </w:tc>
        <w:tc>
          <w:tcPr>
            <w:tcW w:w="345" w:type="pct"/>
            <w:shd w:val="clear" w:color="auto" w:fill="auto"/>
            <w:hideMark/>
          </w:tcPr>
          <w:p w14:paraId="2082A885" w14:textId="77777777" w:rsidR="00931F10" w:rsidRPr="00D77DA8" w:rsidRDefault="00931F10" w:rsidP="00C83E0B">
            <w:pPr>
              <w:pStyle w:val="DHHStabletext9pt"/>
              <w:rPr>
                <w:color w:val="000000"/>
              </w:rPr>
            </w:pPr>
            <w:r w:rsidRPr="00D77DA8">
              <w:rPr>
                <w:color w:val="000000"/>
              </w:rPr>
              <w:t>Outer Eastern</w:t>
            </w:r>
          </w:p>
        </w:tc>
        <w:tc>
          <w:tcPr>
            <w:tcW w:w="330" w:type="pct"/>
            <w:shd w:val="clear" w:color="auto" w:fill="auto"/>
            <w:hideMark/>
          </w:tcPr>
          <w:p w14:paraId="4F87C4D7" w14:textId="77777777" w:rsidR="00931F10" w:rsidRPr="000D71C6" w:rsidRDefault="00931F10" w:rsidP="00C83E0B">
            <w:pPr>
              <w:pStyle w:val="DHHStabletext9pt"/>
              <w:rPr>
                <w:color w:val="000000"/>
              </w:rPr>
            </w:pPr>
            <w:r w:rsidRPr="000D71C6">
              <w:rPr>
                <w:color w:val="000000"/>
              </w:rPr>
              <w:t>EACH</w:t>
            </w:r>
          </w:p>
        </w:tc>
        <w:tc>
          <w:tcPr>
            <w:tcW w:w="301" w:type="pct"/>
            <w:shd w:val="clear" w:color="auto" w:fill="auto"/>
            <w:hideMark/>
          </w:tcPr>
          <w:p w14:paraId="269753BC" w14:textId="77777777" w:rsidR="00931F10" w:rsidRPr="00D77DA8" w:rsidRDefault="00931F10" w:rsidP="00C83E0B">
            <w:pPr>
              <w:pStyle w:val="DHHStabletext9pt"/>
              <w:rPr>
                <w:color w:val="000000"/>
              </w:rPr>
            </w:pPr>
            <w:r w:rsidRPr="00D77DA8">
              <w:rPr>
                <w:color w:val="000000"/>
              </w:rPr>
              <w:t>NEPHU</w:t>
            </w:r>
          </w:p>
        </w:tc>
        <w:tc>
          <w:tcPr>
            <w:tcW w:w="410" w:type="pct"/>
            <w:shd w:val="clear" w:color="auto" w:fill="auto"/>
            <w:hideMark/>
          </w:tcPr>
          <w:p w14:paraId="16740ECB" w14:textId="77777777" w:rsidR="00931F10" w:rsidRPr="00D77DA8" w:rsidRDefault="00931F10" w:rsidP="00C83E0B">
            <w:pPr>
              <w:pStyle w:val="DHHStabletext9pt"/>
              <w:rPr>
                <w:color w:val="000000"/>
              </w:rPr>
            </w:pPr>
            <w:r w:rsidRPr="00D77DA8">
              <w:rPr>
                <w:color w:val="000000"/>
              </w:rPr>
              <w:t xml:space="preserve">South and East Metro - Lead - Monash </w:t>
            </w:r>
          </w:p>
        </w:tc>
        <w:tc>
          <w:tcPr>
            <w:tcW w:w="373" w:type="pct"/>
            <w:hideMark/>
          </w:tcPr>
          <w:p w14:paraId="7D683DC3" w14:textId="77777777" w:rsidR="00931F10" w:rsidRPr="00D77DA8" w:rsidRDefault="00931F10" w:rsidP="00C83E0B">
            <w:pPr>
              <w:pStyle w:val="DHHStabletext9pt"/>
              <w:rPr>
                <w:color w:val="000000"/>
              </w:rPr>
            </w:pPr>
            <w:r w:rsidRPr="00D77DA8">
              <w:rPr>
                <w:color w:val="000000"/>
              </w:rPr>
              <w:t>Yes</w:t>
            </w:r>
          </w:p>
        </w:tc>
      </w:tr>
      <w:tr w:rsidR="00C83E0B" w:rsidRPr="003A1EF9" w14:paraId="5F58CFEC" w14:textId="77777777" w:rsidTr="00856F51">
        <w:trPr>
          <w:trHeight w:val="1106"/>
        </w:trPr>
        <w:tc>
          <w:tcPr>
            <w:tcW w:w="383" w:type="pct"/>
            <w:hideMark/>
          </w:tcPr>
          <w:p w14:paraId="29D3932A" w14:textId="77777777" w:rsidR="00931F10" w:rsidRPr="00D77DA8" w:rsidRDefault="00931F10" w:rsidP="00C83E0B">
            <w:pPr>
              <w:pStyle w:val="DHHStabletext9pt"/>
            </w:pPr>
            <w:r w:rsidRPr="00D77DA8">
              <w:t>Yarriambiack Shire</w:t>
            </w:r>
          </w:p>
        </w:tc>
        <w:tc>
          <w:tcPr>
            <w:tcW w:w="2209" w:type="pct"/>
            <w:hideMark/>
          </w:tcPr>
          <w:p w14:paraId="34C184D4" w14:textId="77777777" w:rsidR="00931F10" w:rsidRPr="00D77DA8" w:rsidRDefault="00931F10" w:rsidP="00C83E0B">
            <w:pPr>
              <w:pStyle w:val="DHHStabletext9pt"/>
              <w:rPr>
                <w:color w:val="000000"/>
              </w:rPr>
            </w:pPr>
            <w:r w:rsidRPr="00D77DA8">
              <w:rPr>
                <w:color w:val="000000"/>
              </w:rPr>
              <w:t>Areegra; Aubrey; Bangerang; Beulah; Boolite; Brim; Cannum; Crymelon; Dimboola; Hopetoun; Jung; Kellalac; Kewell; Laen; Lah; Lascelles; Lawler; Longerenong; Lubeck; Minyip; Murra Warra; Murtoa; Patchewollock; Rainbow; Rosebery; Rupanyup; Sheep Hills; Speed; Tempy; Turriff; Wallup; Warracknabeal; Watchem West; Wilkur; Willenabrina; Woomelang; Yaapeet</w:t>
            </w:r>
          </w:p>
        </w:tc>
        <w:tc>
          <w:tcPr>
            <w:tcW w:w="328" w:type="pct"/>
            <w:hideMark/>
          </w:tcPr>
          <w:p w14:paraId="7F11994C" w14:textId="77777777" w:rsidR="00931F10" w:rsidRPr="00D77DA8" w:rsidRDefault="00931F10" w:rsidP="00C83E0B">
            <w:pPr>
              <w:pStyle w:val="DHHStabletext9pt"/>
              <w:rPr>
                <w:color w:val="000000"/>
              </w:rPr>
            </w:pPr>
            <w:r w:rsidRPr="00D77DA8">
              <w:rPr>
                <w:color w:val="000000"/>
              </w:rPr>
              <w:t>Wimmera South West</w:t>
            </w:r>
          </w:p>
        </w:tc>
        <w:tc>
          <w:tcPr>
            <w:tcW w:w="321" w:type="pct"/>
            <w:hideMark/>
          </w:tcPr>
          <w:p w14:paraId="6132E21B" w14:textId="77777777" w:rsidR="00931F10" w:rsidRPr="00D77DA8" w:rsidRDefault="00931F10" w:rsidP="00C83E0B">
            <w:pPr>
              <w:pStyle w:val="DHHStabletext9pt"/>
              <w:rPr>
                <w:color w:val="000000"/>
              </w:rPr>
            </w:pPr>
            <w:r w:rsidRPr="00D77DA8">
              <w:rPr>
                <w:color w:val="000000"/>
              </w:rPr>
              <w:t>West</w:t>
            </w:r>
          </w:p>
        </w:tc>
        <w:tc>
          <w:tcPr>
            <w:tcW w:w="345" w:type="pct"/>
            <w:hideMark/>
          </w:tcPr>
          <w:p w14:paraId="78191C6B" w14:textId="77777777" w:rsidR="00931F10" w:rsidRPr="00D77DA8" w:rsidRDefault="00931F10" w:rsidP="00C83E0B">
            <w:pPr>
              <w:pStyle w:val="DHHStabletext9pt"/>
              <w:rPr>
                <w:color w:val="000000"/>
              </w:rPr>
            </w:pPr>
            <w:r w:rsidRPr="00D77DA8">
              <w:rPr>
                <w:color w:val="000000"/>
              </w:rPr>
              <w:t>WSW - Wimmera</w:t>
            </w:r>
          </w:p>
        </w:tc>
        <w:tc>
          <w:tcPr>
            <w:tcW w:w="330" w:type="pct"/>
            <w:hideMark/>
          </w:tcPr>
          <w:p w14:paraId="76642350" w14:textId="77777777" w:rsidR="00931F10" w:rsidRPr="00D77DA8" w:rsidRDefault="00931F10" w:rsidP="00C83E0B">
            <w:pPr>
              <w:pStyle w:val="DHHStabletext9pt"/>
              <w:rPr>
                <w:color w:val="000000"/>
              </w:rPr>
            </w:pPr>
            <w:r w:rsidRPr="005E06E2">
              <w:rPr>
                <w:color w:val="000000"/>
              </w:rPr>
              <w:t>Grampians Community Health</w:t>
            </w:r>
          </w:p>
        </w:tc>
        <w:tc>
          <w:tcPr>
            <w:tcW w:w="301" w:type="pct"/>
            <w:hideMark/>
          </w:tcPr>
          <w:p w14:paraId="7AABAA5F" w14:textId="77777777" w:rsidR="00931F10" w:rsidRPr="00D77DA8" w:rsidRDefault="00931F10" w:rsidP="00C83E0B">
            <w:pPr>
              <w:pStyle w:val="DHHStabletext9pt"/>
              <w:rPr>
                <w:color w:val="000000"/>
              </w:rPr>
            </w:pPr>
            <w:r w:rsidRPr="00D77DA8">
              <w:rPr>
                <w:color w:val="000000"/>
              </w:rPr>
              <w:t>Ballarat Health</w:t>
            </w:r>
          </w:p>
        </w:tc>
        <w:tc>
          <w:tcPr>
            <w:tcW w:w="410" w:type="pct"/>
            <w:hideMark/>
          </w:tcPr>
          <w:p w14:paraId="26B3F786" w14:textId="77777777" w:rsidR="00931F10" w:rsidRPr="00D77DA8" w:rsidRDefault="00931F10" w:rsidP="00C83E0B">
            <w:pPr>
              <w:pStyle w:val="DHHStabletext9pt"/>
              <w:rPr>
                <w:color w:val="000000"/>
              </w:rPr>
            </w:pPr>
            <w:r w:rsidRPr="00D77DA8">
              <w:rPr>
                <w:color w:val="000000"/>
              </w:rPr>
              <w:t>Grampians - Lead - Ballarat Health</w:t>
            </w:r>
          </w:p>
        </w:tc>
        <w:tc>
          <w:tcPr>
            <w:tcW w:w="373" w:type="pct"/>
            <w:hideMark/>
          </w:tcPr>
          <w:p w14:paraId="612B90A4" w14:textId="77777777" w:rsidR="00931F10" w:rsidRPr="00D77DA8" w:rsidRDefault="00931F10" w:rsidP="00C83E0B">
            <w:pPr>
              <w:pStyle w:val="DHHStabletext9pt"/>
              <w:rPr>
                <w:color w:val="000000"/>
              </w:rPr>
            </w:pPr>
            <w:r w:rsidRPr="00D77DA8">
              <w:rPr>
                <w:color w:val="000000"/>
              </w:rPr>
              <w:t>Yes</w:t>
            </w:r>
          </w:p>
        </w:tc>
      </w:tr>
    </w:tbl>
    <w:p w14:paraId="02AD9A8D" w14:textId="590EC7D2" w:rsidR="00931F10" w:rsidRDefault="00931F10" w:rsidP="00931F10">
      <w:pPr>
        <w:spacing w:after="160" w:line="259" w:lineRule="auto"/>
        <w:rPr>
          <w:rFonts w:cs="Arial"/>
          <w:szCs w:val="21"/>
          <w:u w:val="dotted"/>
        </w:rPr>
      </w:pPr>
    </w:p>
    <w:p w14:paraId="54D0E14D" w14:textId="77777777" w:rsidR="002F356F" w:rsidRDefault="002F356F" w:rsidP="00931F10">
      <w:pPr>
        <w:spacing w:after="160" w:line="259" w:lineRule="auto"/>
        <w:rPr>
          <w:rFonts w:cs="Arial"/>
          <w:szCs w:val="21"/>
          <w:u w:val="dotted"/>
        </w:rPr>
        <w:sectPr w:rsidR="002F356F" w:rsidSect="00FF006A">
          <w:pgSz w:w="16838" w:h="11906" w:orient="landscape" w:code="9"/>
          <w:pgMar w:top="720" w:right="720" w:bottom="720" w:left="567" w:header="680" w:footer="851" w:gutter="0"/>
          <w:cols w:space="340"/>
          <w:docGrid w:linePitch="360"/>
        </w:sectPr>
      </w:pPr>
    </w:p>
    <w:p w14:paraId="7E9CF2B2" w14:textId="431B193D" w:rsidR="002F356F" w:rsidRPr="00B66D01" w:rsidRDefault="002F356F" w:rsidP="00856F51">
      <w:pPr>
        <w:pStyle w:val="Heading2"/>
      </w:pPr>
      <w:bookmarkStart w:id="98" w:name="_Toc93219807"/>
      <w:bookmarkStart w:id="99" w:name="_Toc93905420"/>
      <w:r>
        <w:lastRenderedPageBreak/>
        <w:t>Appendix 7: Glossary</w:t>
      </w:r>
      <w:bookmarkEnd w:id="98"/>
      <w:bookmarkEnd w:id="99"/>
    </w:p>
    <w:tbl>
      <w:tblPr>
        <w:tblStyle w:val="TableGrid"/>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85" w:type="dxa"/>
          <w:bottom w:w="28" w:type="dxa"/>
          <w:right w:w="85" w:type="dxa"/>
        </w:tblCellMar>
        <w:tblLook w:val="04A0" w:firstRow="1" w:lastRow="0" w:firstColumn="1" w:lastColumn="0" w:noHBand="0" w:noVBand="1"/>
        <w:tblCaption w:val="Glossary"/>
        <w:tblDescription w:val="Term; Definition"/>
      </w:tblPr>
      <w:tblGrid>
        <w:gridCol w:w="2259"/>
        <w:gridCol w:w="7942"/>
      </w:tblGrid>
      <w:tr w:rsidR="002F356F" w:rsidRPr="00D248D4" w14:paraId="5A2496E2" w14:textId="77777777" w:rsidTr="00717ED8">
        <w:trPr>
          <w:trHeight w:val="300"/>
          <w:tblHeader/>
        </w:trPr>
        <w:tc>
          <w:tcPr>
            <w:tcW w:w="2259" w:type="dxa"/>
            <w:shd w:val="clear" w:color="auto" w:fill="auto"/>
            <w:hideMark/>
          </w:tcPr>
          <w:p w14:paraId="66179870" w14:textId="77777777" w:rsidR="002F356F" w:rsidRPr="00384990" w:rsidRDefault="002F356F" w:rsidP="005325AE">
            <w:pPr>
              <w:pStyle w:val="DHHStablecolhead"/>
            </w:pPr>
            <w:r w:rsidRPr="00384990">
              <w:t>Term</w:t>
            </w:r>
          </w:p>
        </w:tc>
        <w:tc>
          <w:tcPr>
            <w:tcW w:w="7942" w:type="dxa"/>
            <w:shd w:val="clear" w:color="auto" w:fill="auto"/>
            <w:hideMark/>
          </w:tcPr>
          <w:p w14:paraId="323FF19B" w14:textId="77777777" w:rsidR="002F356F" w:rsidRPr="00384990" w:rsidRDefault="002F356F" w:rsidP="005325AE">
            <w:pPr>
              <w:pStyle w:val="DHHStablecolhead"/>
            </w:pPr>
            <w:r w:rsidRPr="00384990">
              <w:t>Definition</w:t>
            </w:r>
          </w:p>
        </w:tc>
      </w:tr>
      <w:tr w:rsidR="002F356F" w:rsidRPr="00D248D4" w14:paraId="0D452591" w14:textId="77777777" w:rsidTr="00717ED8">
        <w:trPr>
          <w:trHeight w:val="1019"/>
        </w:trPr>
        <w:tc>
          <w:tcPr>
            <w:tcW w:w="2259" w:type="dxa"/>
            <w:hideMark/>
          </w:tcPr>
          <w:p w14:paraId="48BD3232" w14:textId="77777777" w:rsidR="002F356F" w:rsidRPr="00856F51" w:rsidRDefault="002F356F" w:rsidP="00856F51">
            <w:pPr>
              <w:pStyle w:val="DHHStabletext"/>
              <w:rPr>
                <w:rStyle w:val="Strong"/>
              </w:rPr>
            </w:pPr>
            <w:r w:rsidRPr="00856F51">
              <w:rPr>
                <w:rStyle w:val="Strong"/>
              </w:rPr>
              <w:t>Aboriginal</w:t>
            </w:r>
          </w:p>
        </w:tc>
        <w:tc>
          <w:tcPr>
            <w:tcW w:w="7942" w:type="dxa"/>
            <w:hideMark/>
          </w:tcPr>
          <w:p w14:paraId="1D3B76B1" w14:textId="77777777" w:rsidR="002F356F" w:rsidRPr="002F356F" w:rsidRDefault="002F356F" w:rsidP="00856F51">
            <w:pPr>
              <w:pStyle w:val="DHHStabletext"/>
            </w:pPr>
            <w:r w:rsidRPr="002F356F">
              <w:t>Aboriginal people are the First Peoples and Traditional Owners and custodians of the land and water on which we rely. In the context of the High-Risk Accommodation Response the Aboriginal community is a high-risk group requiring specialised medical and cultural considerations in the application of COVID-19 prevention and treatment.</w:t>
            </w:r>
          </w:p>
        </w:tc>
      </w:tr>
      <w:tr w:rsidR="002F356F" w:rsidRPr="00D248D4" w14:paraId="5EF8CFCB" w14:textId="77777777" w:rsidTr="00717ED8">
        <w:trPr>
          <w:trHeight w:val="1140"/>
        </w:trPr>
        <w:tc>
          <w:tcPr>
            <w:tcW w:w="2259" w:type="dxa"/>
            <w:hideMark/>
          </w:tcPr>
          <w:p w14:paraId="30BEE72C" w14:textId="77777777" w:rsidR="002F356F" w:rsidRPr="00856F51" w:rsidRDefault="002F356F" w:rsidP="00856F51">
            <w:pPr>
              <w:pStyle w:val="DHHStabletext"/>
              <w:rPr>
                <w:rStyle w:val="Strong"/>
              </w:rPr>
            </w:pPr>
            <w:r w:rsidRPr="00856F51">
              <w:rPr>
                <w:rStyle w:val="Strong"/>
              </w:rPr>
              <w:t>Aboriginal Community Controlled Organisation (ACCO) officer</w:t>
            </w:r>
          </w:p>
        </w:tc>
        <w:tc>
          <w:tcPr>
            <w:tcW w:w="7942" w:type="dxa"/>
            <w:hideMark/>
          </w:tcPr>
          <w:p w14:paraId="26B73F01" w14:textId="77777777" w:rsidR="002F356F" w:rsidRPr="002F356F" w:rsidRDefault="002F356F" w:rsidP="00856F51">
            <w:pPr>
              <w:pStyle w:val="DHHStabletext"/>
            </w:pPr>
            <w:r w:rsidRPr="002F356F">
              <w:t>An ACCO is an independent, not-for-profit organisation, that is incorporated as an Aboriginal organisation. An ACCO has been initiated by and is controlled and operated by Aboriginal people; thereby acknowledging the right of Aboriginal peoples to self-determination. ACCOs deliver services that build strength and empowerment in Aboriginal communities and people.</w:t>
            </w:r>
          </w:p>
        </w:tc>
      </w:tr>
      <w:tr w:rsidR="002F356F" w:rsidRPr="00D248D4" w14:paraId="0031271A" w14:textId="77777777" w:rsidTr="00717ED8">
        <w:trPr>
          <w:trHeight w:val="415"/>
        </w:trPr>
        <w:tc>
          <w:tcPr>
            <w:tcW w:w="2259" w:type="dxa"/>
            <w:hideMark/>
          </w:tcPr>
          <w:p w14:paraId="0A489510" w14:textId="77777777" w:rsidR="002F356F" w:rsidRPr="00856F51" w:rsidRDefault="002F356F" w:rsidP="00856F51">
            <w:pPr>
              <w:pStyle w:val="DHHStabletext"/>
              <w:rPr>
                <w:rStyle w:val="Strong"/>
              </w:rPr>
            </w:pPr>
            <w:r w:rsidRPr="00856F51">
              <w:rPr>
                <w:rStyle w:val="Strong"/>
              </w:rPr>
              <w:t>Accessibility</w:t>
            </w:r>
          </w:p>
        </w:tc>
        <w:tc>
          <w:tcPr>
            <w:tcW w:w="7942" w:type="dxa"/>
            <w:hideMark/>
          </w:tcPr>
          <w:p w14:paraId="1D8B3306" w14:textId="77777777" w:rsidR="002F356F" w:rsidRPr="002F356F" w:rsidRDefault="002F356F" w:rsidP="00856F51">
            <w:pPr>
              <w:pStyle w:val="DHHStabletext"/>
            </w:pPr>
            <w:r w:rsidRPr="002F356F">
              <w:t xml:space="preserve">Clear, accessible, culturally, linguistically and religiously appropriate and authoritative public health and support service information. </w:t>
            </w:r>
          </w:p>
        </w:tc>
      </w:tr>
      <w:tr w:rsidR="002F356F" w:rsidRPr="00D248D4" w14:paraId="1EC11EC8" w14:textId="77777777" w:rsidTr="00717ED8">
        <w:trPr>
          <w:trHeight w:val="1006"/>
        </w:trPr>
        <w:tc>
          <w:tcPr>
            <w:tcW w:w="2259" w:type="dxa"/>
            <w:hideMark/>
          </w:tcPr>
          <w:p w14:paraId="78B5D394" w14:textId="77777777" w:rsidR="002F356F" w:rsidRPr="00856F51" w:rsidRDefault="002F356F" w:rsidP="00856F51">
            <w:pPr>
              <w:pStyle w:val="DHHStabletext"/>
              <w:rPr>
                <w:rStyle w:val="Strong"/>
              </w:rPr>
            </w:pPr>
            <w:r w:rsidRPr="00856F51">
              <w:rPr>
                <w:rStyle w:val="Strong"/>
              </w:rPr>
              <w:t>Aged Care Accommodation</w:t>
            </w:r>
          </w:p>
        </w:tc>
        <w:tc>
          <w:tcPr>
            <w:tcW w:w="7942" w:type="dxa"/>
            <w:hideMark/>
          </w:tcPr>
          <w:p w14:paraId="7282CB60" w14:textId="77777777" w:rsidR="002F356F" w:rsidRPr="002F356F" w:rsidRDefault="002F356F" w:rsidP="00856F51">
            <w:pPr>
              <w:pStyle w:val="DHHStabletext"/>
            </w:pPr>
            <w:r w:rsidRPr="002F356F">
              <w:t>This is accommodation for people who are no longer able to live independently in their own homes. This could be due to a wide variety of causes, including psycho-social needs. This type of accommodation is out of scope for the High-Risk Accommodation Response. Aged Care is regulated by the Commonwealth government.</w:t>
            </w:r>
          </w:p>
        </w:tc>
      </w:tr>
      <w:tr w:rsidR="002F356F" w:rsidRPr="00D248D4" w14:paraId="3637271C" w14:textId="77777777" w:rsidTr="00717ED8">
        <w:trPr>
          <w:trHeight w:val="570"/>
        </w:trPr>
        <w:tc>
          <w:tcPr>
            <w:tcW w:w="2259" w:type="dxa"/>
            <w:hideMark/>
          </w:tcPr>
          <w:p w14:paraId="71C6B0B3" w14:textId="77777777" w:rsidR="002F356F" w:rsidRPr="00856F51" w:rsidRDefault="002F356F" w:rsidP="00856F51">
            <w:pPr>
              <w:pStyle w:val="DHHStabletext"/>
              <w:rPr>
                <w:rStyle w:val="Strong"/>
              </w:rPr>
            </w:pPr>
            <w:r w:rsidRPr="00856F51">
              <w:rPr>
                <w:rStyle w:val="Strong"/>
              </w:rPr>
              <w:t>Auslan</w:t>
            </w:r>
          </w:p>
        </w:tc>
        <w:tc>
          <w:tcPr>
            <w:tcW w:w="7942" w:type="dxa"/>
            <w:hideMark/>
          </w:tcPr>
          <w:p w14:paraId="6E75BF42" w14:textId="77777777" w:rsidR="002F356F" w:rsidRPr="002F356F" w:rsidRDefault="002F356F" w:rsidP="00856F51">
            <w:pPr>
              <w:pStyle w:val="DHHStabletext"/>
            </w:pPr>
            <w:r w:rsidRPr="002F356F">
              <w:t>Auslan is short for Australian sign language, a language developed by, and for, Australians who are deaf or hearing impaired. It’s a visual form of communication that uses hand, arm and body movements to convey meaning.</w:t>
            </w:r>
          </w:p>
        </w:tc>
      </w:tr>
      <w:tr w:rsidR="002F356F" w:rsidRPr="00D248D4" w14:paraId="5277E2C1" w14:textId="77777777" w:rsidTr="00717ED8">
        <w:trPr>
          <w:trHeight w:val="570"/>
        </w:trPr>
        <w:tc>
          <w:tcPr>
            <w:tcW w:w="2259" w:type="dxa"/>
            <w:hideMark/>
          </w:tcPr>
          <w:p w14:paraId="7CE438CE" w14:textId="77777777" w:rsidR="002F356F" w:rsidRPr="00856F51" w:rsidRDefault="002F356F" w:rsidP="00856F51">
            <w:pPr>
              <w:pStyle w:val="DHHStabletext"/>
              <w:rPr>
                <w:rStyle w:val="Strong"/>
              </w:rPr>
            </w:pPr>
            <w:r w:rsidRPr="00856F51">
              <w:rPr>
                <w:rStyle w:val="Strong"/>
              </w:rPr>
              <w:t>Backpacker Hostel</w:t>
            </w:r>
          </w:p>
        </w:tc>
        <w:tc>
          <w:tcPr>
            <w:tcW w:w="7942" w:type="dxa"/>
            <w:hideMark/>
          </w:tcPr>
          <w:p w14:paraId="5A643CA8" w14:textId="77777777" w:rsidR="002F356F" w:rsidRPr="002F356F" w:rsidRDefault="002F356F" w:rsidP="00856F51">
            <w:pPr>
              <w:pStyle w:val="DHHStabletext"/>
            </w:pPr>
            <w:r w:rsidRPr="002F356F">
              <w:t xml:space="preserve">Low-cost, short-term shared sociable lodging where guests rent a bed, usually a bunk bed in a dormitory, with shared use of a lounge and sometimes a kitchen. Rooms can be mixed or single-sex and have private or shared bathrooms. </w:t>
            </w:r>
          </w:p>
        </w:tc>
      </w:tr>
      <w:tr w:rsidR="002F356F" w:rsidRPr="00D248D4" w14:paraId="0C41FCF2" w14:textId="77777777" w:rsidTr="00717ED8">
        <w:trPr>
          <w:trHeight w:val="570"/>
        </w:trPr>
        <w:tc>
          <w:tcPr>
            <w:tcW w:w="2259" w:type="dxa"/>
            <w:hideMark/>
          </w:tcPr>
          <w:p w14:paraId="5C42EB44" w14:textId="77777777" w:rsidR="002F356F" w:rsidRPr="00856F51" w:rsidRDefault="002F356F" w:rsidP="00856F51">
            <w:pPr>
              <w:pStyle w:val="DHHStabletext"/>
              <w:rPr>
                <w:rStyle w:val="Strong"/>
              </w:rPr>
            </w:pPr>
            <w:r w:rsidRPr="00856F51">
              <w:rPr>
                <w:rStyle w:val="Strong"/>
              </w:rPr>
              <w:t>Biohazard Waste</w:t>
            </w:r>
          </w:p>
        </w:tc>
        <w:tc>
          <w:tcPr>
            <w:tcW w:w="7942" w:type="dxa"/>
            <w:hideMark/>
          </w:tcPr>
          <w:p w14:paraId="0E4871CA" w14:textId="77777777" w:rsidR="002F356F" w:rsidRPr="002F356F" w:rsidRDefault="002F356F" w:rsidP="00856F51">
            <w:pPr>
              <w:pStyle w:val="DHHStabletext"/>
            </w:pPr>
            <w:r w:rsidRPr="002F356F">
              <w:t>Bodily fluid or tissues which hold the potential to transmit disease. Biohazard waste needs to be disposed of following strict Australian standards. This waste carries the high likelihood of transmitting human pathogens, which also include the COVID-19 virus.</w:t>
            </w:r>
          </w:p>
        </w:tc>
      </w:tr>
      <w:tr w:rsidR="002F356F" w:rsidRPr="00D248D4" w14:paraId="43E5F0C5" w14:textId="77777777" w:rsidTr="00717ED8">
        <w:trPr>
          <w:trHeight w:val="570"/>
        </w:trPr>
        <w:tc>
          <w:tcPr>
            <w:tcW w:w="2259" w:type="dxa"/>
            <w:hideMark/>
          </w:tcPr>
          <w:p w14:paraId="5A9189FB" w14:textId="77777777" w:rsidR="002F356F" w:rsidRPr="00856F51" w:rsidRDefault="002F356F" w:rsidP="00856F51">
            <w:pPr>
              <w:pStyle w:val="DHHStabletext"/>
              <w:rPr>
                <w:rStyle w:val="Strong"/>
              </w:rPr>
            </w:pPr>
            <w:r w:rsidRPr="00856F51">
              <w:rPr>
                <w:rStyle w:val="Strong"/>
              </w:rPr>
              <w:t>Caravan Park</w:t>
            </w:r>
          </w:p>
        </w:tc>
        <w:tc>
          <w:tcPr>
            <w:tcW w:w="7942" w:type="dxa"/>
            <w:hideMark/>
          </w:tcPr>
          <w:p w14:paraId="1C67599F" w14:textId="77777777" w:rsidR="002F356F" w:rsidRPr="002F356F" w:rsidRDefault="002F356F" w:rsidP="00856F51">
            <w:pPr>
              <w:pStyle w:val="DHHStabletext"/>
            </w:pPr>
            <w:r w:rsidRPr="002F356F">
              <w:t>An area containing caravans either for holiday rental, holiday use or permanent living. Guests may share multiple amenities including bathrooms, kitchen, BBQ areas, recreational areas and swimming pools.</w:t>
            </w:r>
          </w:p>
        </w:tc>
      </w:tr>
      <w:tr w:rsidR="002F356F" w:rsidRPr="00D248D4" w14:paraId="27AF085A" w14:textId="77777777" w:rsidTr="00717ED8">
        <w:trPr>
          <w:trHeight w:val="532"/>
        </w:trPr>
        <w:tc>
          <w:tcPr>
            <w:tcW w:w="2259" w:type="dxa"/>
            <w:hideMark/>
          </w:tcPr>
          <w:p w14:paraId="67527E65" w14:textId="77777777" w:rsidR="002F356F" w:rsidRPr="00856F51" w:rsidRDefault="002F356F" w:rsidP="00856F51">
            <w:pPr>
              <w:pStyle w:val="DHHStabletext"/>
              <w:rPr>
                <w:rStyle w:val="Strong"/>
              </w:rPr>
            </w:pPr>
            <w:r w:rsidRPr="00856F51">
              <w:rPr>
                <w:rStyle w:val="Strong"/>
              </w:rPr>
              <w:t>Case numbers</w:t>
            </w:r>
          </w:p>
        </w:tc>
        <w:tc>
          <w:tcPr>
            <w:tcW w:w="7942" w:type="dxa"/>
            <w:hideMark/>
          </w:tcPr>
          <w:p w14:paraId="62C7D7CF" w14:textId="77777777" w:rsidR="002F356F" w:rsidRPr="002F356F" w:rsidRDefault="002F356F" w:rsidP="00856F51">
            <w:pPr>
              <w:pStyle w:val="DHHStabletext"/>
            </w:pPr>
            <w:r w:rsidRPr="002F356F">
              <w:t xml:space="preserve">The number of residents, or members of the public infected with COVID-19. </w:t>
            </w:r>
          </w:p>
        </w:tc>
      </w:tr>
      <w:tr w:rsidR="002F356F" w:rsidRPr="00D248D4" w14:paraId="541DC486" w14:textId="77777777" w:rsidTr="00717ED8">
        <w:trPr>
          <w:trHeight w:val="855"/>
        </w:trPr>
        <w:tc>
          <w:tcPr>
            <w:tcW w:w="2259" w:type="dxa"/>
            <w:hideMark/>
          </w:tcPr>
          <w:p w14:paraId="00E02A9C" w14:textId="77777777" w:rsidR="002F356F" w:rsidRPr="00856F51" w:rsidRDefault="002F356F" w:rsidP="00856F51">
            <w:pPr>
              <w:pStyle w:val="DHHStabletext"/>
              <w:rPr>
                <w:rStyle w:val="Strong"/>
              </w:rPr>
            </w:pPr>
            <w:r w:rsidRPr="00856F51">
              <w:rPr>
                <w:rStyle w:val="Strong"/>
              </w:rPr>
              <w:t>Catchment</w:t>
            </w:r>
          </w:p>
        </w:tc>
        <w:tc>
          <w:tcPr>
            <w:tcW w:w="7942" w:type="dxa"/>
            <w:hideMark/>
          </w:tcPr>
          <w:p w14:paraId="32CF41D8" w14:textId="77777777" w:rsidR="002F356F" w:rsidRPr="002F356F" w:rsidRDefault="002F356F" w:rsidP="00856F51">
            <w:pPr>
              <w:pStyle w:val="DHHStabletext"/>
            </w:pPr>
            <w:r w:rsidRPr="002F356F">
              <w:t xml:space="preserve">A geographical area sectioned according to the Local Government Area (for areas with a high density of units) or DFFH area boundaries (for remaining areas). Each Lead Provider is responsible for assigned catchment areas. There are 26 in total. </w:t>
            </w:r>
          </w:p>
        </w:tc>
      </w:tr>
      <w:tr w:rsidR="002F356F" w:rsidRPr="00D248D4" w14:paraId="3D44ACB8" w14:textId="77777777" w:rsidTr="00717ED8">
        <w:trPr>
          <w:trHeight w:val="877"/>
        </w:trPr>
        <w:tc>
          <w:tcPr>
            <w:tcW w:w="2259" w:type="dxa"/>
            <w:hideMark/>
          </w:tcPr>
          <w:p w14:paraId="150931D8" w14:textId="77777777" w:rsidR="002F356F" w:rsidRPr="00856F51" w:rsidRDefault="002F356F" w:rsidP="00856F51">
            <w:pPr>
              <w:pStyle w:val="DHHStabletext"/>
              <w:rPr>
                <w:rStyle w:val="Strong"/>
              </w:rPr>
            </w:pPr>
            <w:r w:rsidRPr="00856F51">
              <w:rPr>
                <w:rStyle w:val="Strong"/>
              </w:rPr>
              <w:t>Catchment Leadership Group</w:t>
            </w:r>
          </w:p>
        </w:tc>
        <w:tc>
          <w:tcPr>
            <w:tcW w:w="7942" w:type="dxa"/>
            <w:hideMark/>
          </w:tcPr>
          <w:p w14:paraId="09F5FF02" w14:textId="3AA68258" w:rsidR="002F356F" w:rsidRPr="002F356F" w:rsidRDefault="002F356F" w:rsidP="00856F51">
            <w:pPr>
              <w:pStyle w:val="DHHStabletext"/>
            </w:pPr>
            <w:r w:rsidRPr="002F356F">
              <w:t>The Catchment Leadership Group is chaired by the Lead Provider in each of the 31 catchments and is a forum which brings together all partner organisations working to provide HRAR supports in that catchment.</w:t>
            </w:r>
          </w:p>
        </w:tc>
      </w:tr>
      <w:tr w:rsidR="002F356F" w:rsidRPr="00D248D4" w14:paraId="3EBCD55E" w14:textId="77777777" w:rsidTr="00717ED8">
        <w:trPr>
          <w:trHeight w:val="610"/>
        </w:trPr>
        <w:tc>
          <w:tcPr>
            <w:tcW w:w="2259" w:type="dxa"/>
          </w:tcPr>
          <w:p w14:paraId="0EA2E324" w14:textId="77777777" w:rsidR="002F356F" w:rsidRPr="00856F51" w:rsidRDefault="002F356F" w:rsidP="00856F51">
            <w:pPr>
              <w:pStyle w:val="DHHStabletext"/>
              <w:rPr>
                <w:rStyle w:val="Strong"/>
              </w:rPr>
            </w:pPr>
            <w:r w:rsidRPr="00856F51">
              <w:rPr>
                <w:rStyle w:val="Strong"/>
              </w:rPr>
              <w:t>Lead Provider</w:t>
            </w:r>
          </w:p>
        </w:tc>
        <w:tc>
          <w:tcPr>
            <w:tcW w:w="7942" w:type="dxa"/>
          </w:tcPr>
          <w:p w14:paraId="19F09CD2" w14:textId="77777777" w:rsidR="002F356F" w:rsidRPr="002F356F" w:rsidRDefault="002F356F" w:rsidP="00856F51">
            <w:pPr>
              <w:pStyle w:val="DHHStabletext"/>
            </w:pPr>
            <w:r w:rsidRPr="002F356F">
              <w:t xml:space="preserve">Lead Provider and partner agencies delivering HRAR operations. </w:t>
            </w:r>
          </w:p>
        </w:tc>
      </w:tr>
      <w:tr w:rsidR="002F356F" w:rsidRPr="00D248D4" w14:paraId="35708C04" w14:textId="77777777" w:rsidTr="00717ED8">
        <w:trPr>
          <w:trHeight w:val="1259"/>
        </w:trPr>
        <w:tc>
          <w:tcPr>
            <w:tcW w:w="2259" w:type="dxa"/>
          </w:tcPr>
          <w:p w14:paraId="6D525003" w14:textId="77777777" w:rsidR="002F356F" w:rsidRPr="00856F51" w:rsidRDefault="002F356F" w:rsidP="00856F51">
            <w:pPr>
              <w:pStyle w:val="DHHStabletext"/>
              <w:rPr>
                <w:rStyle w:val="Strong"/>
              </w:rPr>
            </w:pPr>
            <w:r w:rsidRPr="00856F51">
              <w:rPr>
                <w:rStyle w:val="Strong"/>
              </w:rPr>
              <w:t>Community Capacity Building Initiative</w:t>
            </w:r>
          </w:p>
        </w:tc>
        <w:tc>
          <w:tcPr>
            <w:tcW w:w="7942" w:type="dxa"/>
          </w:tcPr>
          <w:p w14:paraId="09D46D44" w14:textId="77777777" w:rsidR="002F356F" w:rsidRPr="002F356F" w:rsidRDefault="002F356F" w:rsidP="00856F51">
            <w:pPr>
              <w:pStyle w:val="DHHStabletext"/>
            </w:pPr>
            <w:r w:rsidRPr="002F356F">
              <w:rPr>
                <w:color w:val="202124"/>
                <w:shd w:val="clear" w:color="auto" w:fill="FFFFFF"/>
              </w:rPr>
              <w:t>Non Governmental Organization to contribute to the mitigation of poverty, health, gender and environment related problems by enhancing the capacity of communities to access and utilize knowledge and resources for the benefit of these communities.</w:t>
            </w:r>
          </w:p>
        </w:tc>
      </w:tr>
      <w:tr w:rsidR="002F356F" w:rsidRPr="00D248D4" w14:paraId="251BA5A6" w14:textId="77777777" w:rsidTr="00717ED8">
        <w:trPr>
          <w:trHeight w:val="1259"/>
        </w:trPr>
        <w:tc>
          <w:tcPr>
            <w:tcW w:w="2259" w:type="dxa"/>
            <w:hideMark/>
          </w:tcPr>
          <w:p w14:paraId="39B845C7" w14:textId="77777777" w:rsidR="002F356F" w:rsidRPr="00856F51" w:rsidRDefault="002F356F" w:rsidP="00856F51">
            <w:pPr>
              <w:pStyle w:val="DHHStabletext"/>
              <w:rPr>
                <w:rStyle w:val="Strong"/>
              </w:rPr>
            </w:pPr>
            <w:r w:rsidRPr="00856F51">
              <w:rPr>
                <w:rStyle w:val="Strong"/>
              </w:rPr>
              <w:lastRenderedPageBreak/>
              <w:t>Community Engagement</w:t>
            </w:r>
          </w:p>
        </w:tc>
        <w:tc>
          <w:tcPr>
            <w:tcW w:w="7942" w:type="dxa"/>
            <w:hideMark/>
          </w:tcPr>
          <w:p w14:paraId="6D59B257" w14:textId="6F694E0E" w:rsidR="002F356F" w:rsidRPr="002F356F" w:rsidRDefault="002F356F" w:rsidP="00856F51">
            <w:pPr>
              <w:pStyle w:val="DHHStabletext"/>
            </w:pPr>
            <w:r w:rsidRPr="002F356F">
              <w:t>Written or verbal communication, which keep residents and the community informed of progress and next steps of the HRAR. Community engagement also includes working with community leaders and trusted providers to provide and reinforce public health messaging</w:t>
            </w:r>
            <w:r w:rsidR="00856F51">
              <w:t xml:space="preserve"> </w:t>
            </w:r>
            <w:r w:rsidRPr="002F356F">
              <w:t>to residents. Engagement is accessible and includes the use of a translators and culturally appropriate resources.</w:t>
            </w:r>
          </w:p>
        </w:tc>
      </w:tr>
      <w:tr w:rsidR="002F356F" w:rsidRPr="00D248D4" w14:paraId="0904141B" w14:textId="77777777" w:rsidTr="00717ED8">
        <w:trPr>
          <w:trHeight w:val="855"/>
        </w:trPr>
        <w:tc>
          <w:tcPr>
            <w:tcW w:w="2259" w:type="dxa"/>
            <w:hideMark/>
          </w:tcPr>
          <w:p w14:paraId="30AE9677" w14:textId="77777777" w:rsidR="002F356F" w:rsidRPr="00856F51" w:rsidRDefault="002F356F" w:rsidP="00856F51">
            <w:pPr>
              <w:pStyle w:val="DHHStabletext"/>
              <w:rPr>
                <w:rStyle w:val="Strong"/>
              </w:rPr>
            </w:pPr>
            <w:r w:rsidRPr="00856F51">
              <w:rPr>
                <w:rStyle w:val="Strong"/>
              </w:rPr>
              <w:t>Community Safety</w:t>
            </w:r>
          </w:p>
        </w:tc>
        <w:tc>
          <w:tcPr>
            <w:tcW w:w="7942" w:type="dxa"/>
            <w:hideMark/>
          </w:tcPr>
          <w:p w14:paraId="34CF1FCF" w14:textId="77777777" w:rsidR="002F356F" w:rsidRPr="002F356F" w:rsidRDefault="002F356F" w:rsidP="00856F51">
            <w:pPr>
              <w:pStyle w:val="DHHStabletext"/>
            </w:pPr>
            <w:r w:rsidRPr="002F356F">
              <w:t xml:space="preserve">A joint response from all parties within the HRAR, including the Victoria Police, to ensure the physical and mental safety of residents and compliance with relevant laws and public health directions. </w:t>
            </w:r>
          </w:p>
        </w:tc>
      </w:tr>
      <w:tr w:rsidR="002F356F" w:rsidRPr="00D248D4" w14:paraId="5EA57027" w14:textId="77777777" w:rsidTr="00717ED8">
        <w:trPr>
          <w:trHeight w:val="1050"/>
        </w:trPr>
        <w:tc>
          <w:tcPr>
            <w:tcW w:w="2259" w:type="dxa"/>
            <w:hideMark/>
          </w:tcPr>
          <w:p w14:paraId="7C84035B" w14:textId="77777777" w:rsidR="002F356F" w:rsidRPr="00856F51" w:rsidRDefault="002F356F" w:rsidP="00856F51">
            <w:pPr>
              <w:pStyle w:val="DHHStabletext"/>
              <w:rPr>
                <w:rStyle w:val="Strong"/>
              </w:rPr>
            </w:pPr>
            <w:r w:rsidRPr="00856F51">
              <w:rPr>
                <w:rStyle w:val="Strong"/>
              </w:rPr>
              <w:t>Community Transmission</w:t>
            </w:r>
          </w:p>
        </w:tc>
        <w:tc>
          <w:tcPr>
            <w:tcW w:w="7942" w:type="dxa"/>
            <w:hideMark/>
          </w:tcPr>
          <w:p w14:paraId="6F81B90F" w14:textId="77777777" w:rsidR="002F356F" w:rsidRPr="002F356F" w:rsidRDefault="002F356F" w:rsidP="00856F51">
            <w:pPr>
              <w:pStyle w:val="DHHStabletext"/>
            </w:pPr>
            <w:r w:rsidRPr="002F356F">
              <w:t>A type of transition of COVID-19 or any infectious disease where there is no clear origin of the infection in a new community. Community transmission occurs when you can no longer identify who became infected after being exposed to someone who interacted with people from the originally infected communities.</w:t>
            </w:r>
          </w:p>
        </w:tc>
      </w:tr>
      <w:tr w:rsidR="002F356F" w:rsidRPr="00D248D4" w14:paraId="14939897" w14:textId="77777777" w:rsidTr="00717ED8">
        <w:trPr>
          <w:trHeight w:val="406"/>
        </w:trPr>
        <w:tc>
          <w:tcPr>
            <w:tcW w:w="2259" w:type="dxa"/>
            <w:hideMark/>
          </w:tcPr>
          <w:p w14:paraId="0BCC842E" w14:textId="77777777" w:rsidR="002F356F" w:rsidRPr="00856F51" w:rsidRDefault="002F356F" w:rsidP="00856F51">
            <w:pPr>
              <w:pStyle w:val="DHHStabletext"/>
              <w:rPr>
                <w:rStyle w:val="Strong"/>
              </w:rPr>
            </w:pPr>
            <w:r w:rsidRPr="00856F51">
              <w:rPr>
                <w:rStyle w:val="Strong"/>
              </w:rPr>
              <w:t>COVID-19</w:t>
            </w:r>
          </w:p>
        </w:tc>
        <w:tc>
          <w:tcPr>
            <w:tcW w:w="7942" w:type="dxa"/>
            <w:hideMark/>
          </w:tcPr>
          <w:p w14:paraId="3FF77D6D" w14:textId="77777777" w:rsidR="002F356F" w:rsidRPr="002F356F" w:rsidRDefault="002F356F" w:rsidP="00856F51">
            <w:pPr>
              <w:pStyle w:val="DHHStabletext"/>
            </w:pPr>
            <w:r w:rsidRPr="002F356F">
              <w:t xml:space="preserve">COVID-19 is a disease caused by a new strain of coronavirus. </w:t>
            </w:r>
          </w:p>
        </w:tc>
      </w:tr>
      <w:tr w:rsidR="002F356F" w:rsidRPr="00D248D4" w14:paraId="770F5644" w14:textId="77777777" w:rsidTr="00717ED8">
        <w:trPr>
          <w:trHeight w:val="570"/>
        </w:trPr>
        <w:tc>
          <w:tcPr>
            <w:tcW w:w="2259" w:type="dxa"/>
            <w:hideMark/>
          </w:tcPr>
          <w:p w14:paraId="7D519219" w14:textId="77777777" w:rsidR="002F356F" w:rsidRPr="00856F51" w:rsidRDefault="002F356F" w:rsidP="00856F51">
            <w:pPr>
              <w:pStyle w:val="DHHStabletext"/>
              <w:rPr>
                <w:rStyle w:val="Strong"/>
              </w:rPr>
            </w:pPr>
            <w:r w:rsidRPr="00856F51">
              <w:rPr>
                <w:rStyle w:val="Strong"/>
              </w:rPr>
              <w:t>Culturally appropriate</w:t>
            </w:r>
          </w:p>
        </w:tc>
        <w:tc>
          <w:tcPr>
            <w:tcW w:w="7942" w:type="dxa"/>
            <w:hideMark/>
          </w:tcPr>
          <w:p w14:paraId="3D5EC098" w14:textId="77777777" w:rsidR="002F356F" w:rsidRPr="002F356F" w:rsidRDefault="002F356F" w:rsidP="00856F51">
            <w:pPr>
              <w:pStyle w:val="DHHStabletext"/>
            </w:pPr>
            <w:r w:rsidRPr="002F356F">
              <w:t xml:space="preserve">Communications and responses which are developed with care and insight into residents’ culture and ideally in collaboration with residents. Culturally appropriate communications and responses create a culturally safe environment, where residents feel safe and there is no denial or challenge of their identity. </w:t>
            </w:r>
          </w:p>
        </w:tc>
      </w:tr>
      <w:tr w:rsidR="002F356F" w:rsidRPr="00D248D4" w14:paraId="19BD943A" w14:textId="77777777" w:rsidTr="00717ED8">
        <w:trPr>
          <w:trHeight w:val="1750"/>
        </w:trPr>
        <w:tc>
          <w:tcPr>
            <w:tcW w:w="2259" w:type="dxa"/>
          </w:tcPr>
          <w:p w14:paraId="226D60BF" w14:textId="77777777" w:rsidR="002F356F" w:rsidRPr="00856F51" w:rsidRDefault="002F356F" w:rsidP="00856F51">
            <w:pPr>
              <w:pStyle w:val="DHHStabletext"/>
              <w:rPr>
                <w:rStyle w:val="Strong"/>
              </w:rPr>
            </w:pPr>
            <w:r w:rsidRPr="00856F51">
              <w:rPr>
                <w:rStyle w:val="Strong"/>
              </w:rPr>
              <w:t>Safety Data Sheet (SDS)</w:t>
            </w:r>
          </w:p>
        </w:tc>
        <w:tc>
          <w:tcPr>
            <w:tcW w:w="7942" w:type="dxa"/>
          </w:tcPr>
          <w:p w14:paraId="5925448B" w14:textId="77777777" w:rsidR="002F356F" w:rsidRPr="002F356F" w:rsidRDefault="002F356F" w:rsidP="00856F51">
            <w:pPr>
              <w:pStyle w:val="DHHStabletext"/>
              <w:rPr>
                <w:rFonts w:eastAsiaTheme="minorHAnsi"/>
              </w:rPr>
            </w:pPr>
            <w:r w:rsidRPr="002F356F">
              <w:t>A</w:t>
            </w:r>
            <w:r w:rsidRPr="002F356F">
              <w:rPr>
                <w:rFonts w:eastAsiaTheme="minorHAnsi"/>
              </w:rPr>
              <w:t xml:space="preserve"> document which identifies hazardous chemicals. The document includes:</w:t>
            </w:r>
          </w:p>
          <w:p w14:paraId="05C37B71" w14:textId="77777777" w:rsidR="002F356F" w:rsidRPr="002F356F" w:rsidRDefault="002F356F" w:rsidP="002853C2">
            <w:pPr>
              <w:pStyle w:val="DHHStabletext"/>
              <w:numPr>
                <w:ilvl w:val="0"/>
                <w:numId w:val="39"/>
              </w:numPr>
              <w:rPr>
                <w:rFonts w:eastAsiaTheme="minorHAnsi"/>
              </w:rPr>
            </w:pPr>
            <w:r w:rsidRPr="002F356F">
              <w:rPr>
                <w:rFonts w:eastAsiaTheme="minorHAnsi"/>
              </w:rPr>
              <w:t>the chemical’s identity and ingredients</w:t>
            </w:r>
          </w:p>
          <w:p w14:paraId="37634397" w14:textId="77777777" w:rsidR="002F356F" w:rsidRPr="002F356F" w:rsidRDefault="002F356F" w:rsidP="002853C2">
            <w:pPr>
              <w:pStyle w:val="DHHStabletext"/>
              <w:numPr>
                <w:ilvl w:val="0"/>
                <w:numId w:val="39"/>
              </w:numPr>
              <w:rPr>
                <w:rFonts w:eastAsiaTheme="minorHAnsi"/>
              </w:rPr>
            </w:pPr>
            <w:r w:rsidRPr="002F356F">
              <w:rPr>
                <w:rFonts w:eastAsiaTheme="minorHAnsi"/>
              </w:rPr>
              <w:t>health and physical </w:t>
            </w:r>
            <w:hyperlink r:id="rId73" w:anchor="hazards" w:history="1">
              <w:r w:rsidRPr="002F356F">
                <w:rPr>
                  <w:rFonts w:eastAsiaTheme="minorHAnsi"/>
                </w:rPr>
                <w:t>hazards</w:t>
              </w:r>
            </w:hyperlink>
          </w:p>
          <w:p w14:paraId="7624D1C4" w14:textId="77777777" w:rsidR="002F356F" w:rsidRPr="002F356F" w:rsidRDefault="002F356F" w:rsidP="002853C2">
            <w:pPr>
              <w:pStyle w:val="DHHStabletext"/>
              <w:numPr>
                <w:ilvl w:val="0"/>
                <w:numId w:val="39"/>
              </w:numPr>
              <w:rPr>
                <w:rFonts w:eastAsiaTheme="minorHAnsi"/>
              </w:rPr>
            </w:pPr>
            <w:r w:rsidRPr="002F356F">
              <w:rPr>
                <w:rFonts w:eastAsiaTheme="minorHAnsi"/>
              </w:rPr>
              <w:t>safe handling and storage procedures</w:t>
            </w:r>
          </w:p>
          <w:p w14:paraId="7D904B34" w14:textId="77777777" w:rsidR="002F356F" w:rsidRPr="002F356F" w:rsidRDefault="002F356F" w:rsidP="002853C2">
            <w:pPr>
              <w:pStyle w:val="DHHStabletext"/>
              <w:numPr>
                <w:ilvl w:val="0"/>
                <w:numId w:val="39"/>
              </w:numPr>
              <w:rPr>
                <w:rFonts w:eastAsiaTheme="minorHAnsi"/>
              </w:rPr>
            </w:pPr>
            <w:r w:rsidRPr="002F356F">
              <w:rPr>
                <w:rFonts w:eastAsiaTheme="minorHAnsi"/>
              </w:rPr>
              <w:t>emergency procedures</w:t>
            </w:r>
          </w:p>
          <w:p w14:paraId="23A20599" w14:textId="77777777" w:rsidR="002F356F" w:rsidRPr="002F356F" w:rsidRDefault="002F356F" w:rsidP="002853C2">
            <w:pPr>
              <w:pStyle w:val="DHHStabletext"/>
              <w:numPr>
                <w:ilvl w:val="0"/>
                <w:numId w:val="39"/>
              </w:numPr>
            </w:pPr>
            <w:r w:rsidRPr="002F356F">
              <w:rPr>
                <w:rFonts w:eastAsiaTheme="minorHAnsi"/>
              </w:rPr>
              <w:t>disposal considerations</w:t>
            </w:r>
          </w:p>
        </w:tc>
      </w:tr>
      <w:tr w:rsidR="002F356F" w:rsidRPr="00D248D4" w14:paraId="6E480A5A" w14:textId="77777777" w:rsidTr="00717ED8">
        <w:trPr>
          <w:trHeight w:val="665"/>
        </w:trPr>
        <w:tc>
          <w:tcPr>
            <w:tcW w:w="2259" w:type="dxa"/>
            <w:hideMark/>
          </w:tcPr>
          <w:p w14:paraId="18EC4027" w14:textId="77777777" w:rsidR="002F356F" w:rsidRPr="00856F51" w:rsidRDefault="002F356F" w:rsidP="00856F51">
            <w:pPr>
              <w:pStyle w:val="DHHStabletext"/>
              <w:rPr>
                <w:rStyle w:val="Strong"/>
              </w:rPr>
            </w:pPr>
            <w:r w:rsidRPr="00856F51">
              <w:rPr>
                <w:rStyle w:val="Strong"/>
              </w:rPr>
              <w:t>Epidemiology</w:t>
            </w:r>
          </w:p>
        </w:tc>
        <w:tc>
          <w:tcPr>
            <w:tcW w:w="7942" w:type="dxa"/>
            <w:hideMark/>
          </w:tcPr>
          <w:p w14:paraId="3A65CBCB" w14:textId="77777777" w:rsidR="002F356F" w:rsidRPr="002F356F" w:rsidRDefault="002F356F" w:rsidP="00856F51">
            <w:pPr>
              <w:pStyle w:val="DHHStabletext"/>
            </w:pPr>
            <w:r w:rsidRPr="002F356F">
              <w:t xml:space="preserve">The branch of medicine which deals with the incidence, distribution, and possible control of diseases and other factors relating to health. </w:t>
            </w:r>
          </w:p>
        </w:tc>
      </w:tr>
      <w:tr w:rsidR="002F356F" w:rsidRPr="00D248D4" w14:paraId="0EC38204" w14:textId="77777777" w:rsidTr="00717ED8">
        <w:trPr>
          <w:trHeight w:val="703"/>
        </w:trPr>
        <w:tc>
          <w:tcPr>
            <w:tcW w:w="2259" w:type="dxa"/>
            <w:hideMark/>
          </w:tcPr>
          <w:p w14:paraId="5CC21634" w14:textId="77777777" w:rsidR="002F356F" w:rsidRPr="00856F51" w:rsidRDefault="002F356F" w:rsidP="00856F51">
            <w:pPr>
              <w:pStyle w:val="DHHStabletext"/>
              <w:rPr>
                <w:rStyle w:val="Strong"/>
              </w:rPr>
            </w:pPr>
            <w:r w:rsidRPr="00856F51">
              <w:rPr>
                <w:rStyle w:val="Strong"/>
              </w:rPr>
              <w:t>Family Violence Refuge</w:t>
            </w:r>
          </w:p>
        </w:tc>
        <w:tc>
          <w:tcPr>
            <w:tcW w:w="7942" w:type="dxa"/>
            <w:hideMark/>
          </w:tcPr>
          <w:p w14:paraId="1CDABE4E" w14:textId="77777777" w:rsidR="002F356F" w:rsidRPr="002F356F" w:rsidRDefault="002F356F" w:rsidP="00856F51">
            <w:pPr>
              <w:pStyle w:val="DHHStabletext"/>
            </w:pPr>
            <w:r w:rsidRPr="002F356F">
              <w:t>Confidential and a safe space for women and children escaping family violence.</w:t>
            </w:r>
          </w:p>
        </w:tc>
      </w:tr>
      <w:tr w:rsidR="002F356F" w:rsidRPr="00D248D4" w14:paraId="6A61FE27" w14:textId="77777777" w:rsidTr="00717ED8">
        <w:trPr>
          <w:trHeight w:val="145"/>
        </w:trPr>
        <w:tc>
          <w:tcPr>
            <w:tcW w:w="2259" w:type="dxa"/>
            <w:hideMark/>
          </w:tcPr>
          <w:p w14:paraId="7D5F9875" w14:textId="77777777" w:rsidR="002F356F" w:rsidRPr="00856F51" w:rsidRDefault="002F356F" w:rsidP="00856F51">
            <w:pPr>
              <w:pStyle w:val="DHHStabletext"/>
              <w:rPr>
                <w:rStyle w:val="Strong"/>
              </w:rPr>
            </w:pPr>
            <w:r w:rsidRPr="00856F51">
              <w:rPr>
                <w:rStyle w:val="Strong"/>
              </w:rPr>
              <w:t>Food and Aid</w:t>
            </w:r>
          </w:p>
        </w:tc>
        <w:tc>
          <w:tcPr>
            <w:tcW w:w="7942" w:type="dxa"/>
            <w:hideMark/>
          </w:tcPr>
          <w:p w14:paraId="5768CBDF" w14:textId="77777777" w:rsidR="002F356F" w:rsidRPr="002F356F" w:rsidRDefault="002F356F" w:rsidP="00856F51">
            <w:pPr>
              <w:pStyle w:val="DHHStabletext"/>
            </w:pPr>
            <w:r w:rsidRPr="002F356F">
              <w:t xml:space="preserve">Essential items residents may require meeting their basic needs. These include may not be limited to food, sanitary items, pharmaceuticals, medical and nursing care, and water. </w:t>
            </w:r>
          </w:p>
        </w:tc>
      </w:tr>
      <w:tr w:rsidR="002F356F" w:rsidRPr="00D248D4" w14:paraId="671FCF72" w14:textId="77777777" w:rsidTr="00717ED8">
        <w:trPr>
          <w:trHeight w:val="425"/>
        </w:trPr>
        <w:tc>
          <w:tcPr>
            <w:tcW w:w="2259" w:type="dxa"/>
            <w:hideMark/>
          </w:tcPr>
          <w:p w14:paraId="4C601DB2" w14:textId="77777777" w:rsidR="002F356F" w:rsidRPr="00856F51" w:rsidRDefault="002F356F" w:rsidP="00856F51">
            <w:pPr>
              <w:pStyle w:val="DHHStabletext"/>
              <w:rPr>
                <w:rStyle w:val="Strong"/>
              </w:rPr>
            </w:pPr>
            <w:r w:rsidRPr="00856F51">
              <w:rPr>
                <w:rStyle w:val="Strong"/>
              </w:rPr>
              <w:t>Health Services</w:t>
            </w:r>
          </w:p>
        </w:tc>
        <w:tc>
          <w:tcPr>
            <w:tcW w:w="7942" w:type="dxa"/>
            <w:hideMark/>
          </w:tcPr>
          <w:p w14:paraId="1E60155A" w14:textId="77777777" w:rsidR="002F356F" w:rsidRPr="002F356F" w:rsidRDefault="002F356F" w:rsidP="00856F51">
            <w:pPr>
              <w:pStyle w:val="DHHStabletext"/>
            </w:pPr>
            <w:r w:rsidRPr="002F356F">
              <w:t>A service offering in-home or virtual health supports to residents while deploying the HRAR.</w:t>
            </w:r>
          </w:p>
        </w:tc>
      </w:tr>
      <w:tr w:rsidR="002F356F" w:rsidRPr="00D248D4" w14:paraId="609F7CCB" w14:textId="77777777" w:rsidTr="00717ED8">
        <w:trPr>
          <w:trHeight w:val="570"/>
        </w:trPr>
        <w:tc>
          <w:tcPr>
            <w:tcW w:w="2259" w:type="dxa"/>
            <w:hideMark/>
          </w:tcPr>
          <w:p w14:paraId="4A6639A1" w14:textId="77777777" w:rsidR="002F356F" w:rsidRPr="00856F51" w:rsidRDefault="002F356F" w:rsidP="00856F51">
            <w:pPr>
              <w:pStyle w:val="DHHStabletext"/>
              <w:rPr>
                <w:rStyle w:val="Strong"/>
              </w:rPr>
            </w:pPr>
            <w:r w:rsidRPr="00856F51">
              <w:rPr>
                <w:rStyle w:val="Strong"/>
              </w:rPr>
              <w:t xml:space="preserve">High-rise public housing </w:t>
            </w:r>
          </w:p>
        </w:tc>
        <w:tc>
          <w:tcPr>
            <w:tcW w:w="7942" w:type="dxa"/>
            <w:hideMark/>
          </w:tcPr>
          <w:p w14:paraId="4EBDC0EF" w14:textId="77777777" w:rsidR="002F356F" w:rsidRPr="002F356F" w:rsidRDefault="002F356F" w:rsidP="00856F51">
            <w:pPr>
              <w:pStyle w:val="DHHStabletext"/>
            </w:pPr>
            <w:r w:rsidRPr="002F356F">
              <w:t>Where there is high density of residents living across a multi-storey public housing estate. </w:t>
            </w:r>
          </w:p>
        </w:tc>
      </w:tr>
      <w:tr w:rsidR="002F356F" w:rsidRPr="00D248D4" w14:paraId="44E0F1FD" w14:textId="77777777" w:rsidTr="00717ED8">
        <w:trPr>
          <w:trHeight w:val="855"/>
        </w:trPr>
        <w:tc>
          <w:tcPr>
            <w:tcW w:w="2259" w:type="dxa"/>
            <w:hideMark/>
          </w:tcPr>
          <w:p w14:paraId="61836E22" w14:textId="77777777" w:rsidR="002F356F" w:rsidRPr="00856F51" w:rsidRDefault="002F356F" w:rsidP="00856F51">
            <w:pPr>
              <w:pStyle w:val="DHHStabletext"/>
              <w:rPr>
                <w:rStyle w:val="Strong"/>
              </w:rPr>
            </w:pPr>
            <w:r w:rsidRPr="00856F51">
              <w:rPr>
                <w:rStyle w:val="Strong"/>
              </w:rPr>
              <w:t>High-risk shared accommodation</w:t>
            </w:r>
          </w:p>
        </w:tc>
        <w:tc>
          <w:tcPr>
            <w:tcW w:w="7942" w:type="dxa"/>
            <w:hideMark/>
          </w:tcPr>
          <w:p w14:paraId="0A24E7E5" w14:textId="77777777" w:rsidR="002F356F" w:rsidRPr="002F356F" w:rsidRDefault="002F356F" w:rsidP="00856F51">
            <w:pPr>
              <w:pStyle w:val="DHHStabletext"/>
            </w:pPr>
            <w:r w:rsidRPr="002F356F">
              <w:t>These accommodation sites are determined by their lay-out, shared facilities and the residents within the dwelling. High-rise towers are automatically a high-risk setting, however medium and low-rise public housing will require a case by case assessment by the Catchment Provider (health lead) in consultation with the department.</w:t>
            </w:r>
          </w:p>
        </w:tc>
      </w:tr>
      <w:tr w:rsidR="002F356F" w:rsidRPr="00D248D4" w14:paraId="5DFE3839" w14:textId="77777777" w:rsidTr="00717ED8">
        <w:trPr>
          <w:trHeight w:val="1140"/>
        </w:trPr>
        <w:tc>
          <w:tcPr>
            <w:tcW w:w="2259" w:type="dxa"/>
            <w:hideMark/>
          </w:tcPr>
          <w:p w14:paraId="04B060CA" w14:textId="77777777" w:rsidR="002F356F" w:rsidRPr="00856F51" w:rsidRDefault="002F356F" w:rsidP="00856F51">
            <w:pPr>
              <w:pStyle w:val="DHHStabletext"/>
              <w:rPr>
                <w:rStyle w:val="Strong"/>
              </w:rPr>
            </w:pPr>
            <w:r w:rsidRPr="00856F51">
              <w:rPr>
                <w:rStyle w:val="Strong"/>
              </w:rPr>
              <w:t>Infection prevention and Control (IPC)</w:t>
            </w:r>
          </w:p>
        </w:tc>
        <w:tc>
          <w:tcPr>
            <w:tcW w:w="7942" w:type="dxa"/>
            <w:hideMark/>
          </w:tcPr>
          <w:p w14:paraId="7D7DCBBE" w14:textId="77777777" w:rsidR="002F356F" w:rsidRPr="002F356F" w:rsidRDefault="002F356F" w:rsidP="00856F51">
            <w:pPr>
              <w:pStyle w:val="DHHStabletext"/>
            </w:pPr>
            <w:r w:rsidRPr="002F356F">
              <w:t>Infection prevention and control (IPC) is a scientific approach and practical solution designed to prevent harm caused by infection to patients and health workers. It is grounded in infectious diseases, epidemiology, social science and health system strengthening. IPC occupies a unique position in the field of patient safety and quality universal health coverage since it is relevant to health workers and patients at every single health-care encounter.</w:t>
            </w:r>
          </w:p>
        </w:tc>
      </w:tr>
      <w:tr w:rsidR="002F356F" w:rsidRPr="00D248D4" w14:paraId="46260EC6" w14:textId="77777777" w:rsidTr="00717ED8">
        <w:trPr>
          <w:trHeight w:val="570"/>
        </w:trPr>
        <w:tc>
          <w:tcPr>
            <w:tcW w:w="2259" w:type="dxa"/>
            <w:hideMark/>
          </w:tcPr>
          <w:p w14:paraId="7CBFDAD0" w14:textId="77777777" w:rsidR="002F356F" w:rsidRPr="00856F51" w:rsidRDefault="002F356F" w:rsidP="00856F51">
            <w:pPr>
              <w:pStyle w:val="DHHStabletext"/>
              <w:rPr>
                <w:rStyle w:val="Strong"/>
              </w:rPr>
            </w:pPr>
            <w:r w:rsidRPr="00856F51">
              <w:rPr>
                <w:rStyle w:val="Strong"/>
              </w:rPr>
              <w:lastRenderedPageBreak/>
              <w:t>Interpreter</w:t>
            </w:r>
          </w:p>
        </w:tc>
        <w:tc>
          <w:tcPr>
            <w:tcW w:w="7942" w:type="dxa"/>
            <w:hideMark/>
          </w:tcPr>
          <w:p w14:paraId="673A6448" w14:textId="6E799CF6" w:rsidR="002F356F" w:rsidRPr="00856F51" w:rsidRDefault="000B7BDC" w:rsidP="00856F51">
            <w:pPr>
              <w:pStyle w:val="DHHStabletext"/>
              <w:rPr>
                <w:rStyle w:val="Hyperlink"/>
              </w:rPr>
            </w:pPr>
            <w:hyperlink r:id="rId74" w:history="1">
              <w:r w:rsidR="002F356F" w:rsidRPr="00856F51">
                <w:rPr>
                  <w:rStyle w:val="Hyperlink"/>
                </w:rPr>
                <w:t>The interpreter’s role is to accurately convey the whole spoken message from one language to another while abiding by the Australian Institute of Interpreters and Translators (AUSIT) Code of Ethics.</w:t>
              </w:r>
            </w:hyperlink>
            <w:r w:rsidR="00856F51">
              <w:rPr>
                <w:rStyle w:val="Hyperlink"/>
              </w:rPr>
              <w:t xml:space="preserve"> </w:t>
            </w:r>
            <w:r w:rsidR="00856F51" w:rsidRPr="00856F51">
              <w:t>&lt;http://www.ausit.org/&gt;</w:t>
            </w:r>
          </w:p>
        </w:tc>
      </w:tr>
      <w:tr w:rsidR="002F356F" w:rsidRPr="00D248D4" w14:paraId="24768939" w14:textId="77777777" w:rsidTr="00717ED8">
        <w:trPr>
          <w:trHeight w:val="1140"/>
        </w:trPr>
        <w:tc>
          <w:tcPr>
            <w:tcW w:w="2259" w:type="dxa"/>
            <w:hideMark/>
          </w:tcPr>
          <w:p w14:paraId="3D119BFE" w14:textId="77777777" w:rsidR="002F356F" w:rsidRPr="00856F51" w:rsidRDefault="002F356F" w:rsidP="00856F51">
            <w:pPr>
              <w:pStyle w:val="DHHStabletext"/>
              <w:rPr>
                <w:rStyle w:val="Strong"/>
              </w:rPr>
            </w:pPr>
            <w:r w:rsidRPr="00856F51">
              <w:rPr>
                <w:rStyle w:val="Strong"/>
              </w:rPr>
              <w:t>Leadership and community</w:t>
            </w:r>
          </w:p>
        </w:tc>
        <w:tc>
          <w:tcPr>
            <w:tcW w:w="7942" w:type="dxa"/>
            <w:hideMark/>
          </w:tcPr>
          <w:p w14:paraId="679A45D9" w14:textId="77777777" w:rsidR="002F356F" w:rsidRPr="002F356F" w:rsidRDefault="002F356F" w:rsidP="00856F51">
            <w:pPr>
              <w:pStyle w:val="DHHStabletext"/>
            </w:pPr>
            <w:r w:rsidRPr="002F356F">
              <w:t xml:space="preserve">Community leaders (where possible, local residents) who reflect the gender, age, cultural and other diversity of residents will be empowered to be critical agents in supporting communities. There will be a focus on building the community to be stronger, and more resilient than before the pandemic. </w:t>
            </w:r>
          </w:p>
        </w:tc>
      </w:tr>
      <w:tr w:rsidR="002F356F" w:rsidRPr="00D248D4" w14:paraId="13269F41" w14:textId="77777777" w:rsidTr="00717ED8">
        <w:trPr>
          <w:trHeight w:val="755"/>
        </w:trPr>
        <w:tc>
          <w:tcPr>
            <w:tcW w:w="2259" w:type="dxa"/>
          </w:tcPr>
          <w:p w14:paraId="727B1F0E" w14:textId="77777777" w:rsidR="002F356F" w:rsidRPr="00856F51" w:rsidRDefault="002F356F" w:rsidP="00856F51">
            <w:pPr>
              <w:pStyle w:val="DHHStabletext"/>
              <w:rPr>
                <w:rStyle w:val="Strong"/>
              </w:rPr>
            </w:pPr>
            <w:r w:rsidRPr="00856F51">
              <w:rPr>
                <w:rStyle w:val="Strong"/>
              </w:rPr>
              <w:t>Lead Provider</w:t>
            </w:r>
          </w:p>
        </w:tc>
        <w:tc>
          <w:tcPr>
            <w:tcW w:w="7942" w:type="dxa"/>
          </w:tcPr>
          <w:p w14:paraId="786343A2" w14:textId="77777777" w:rsidR="002F356F" w:rsidRPr="002F356F" w:rsidRDefault="002F356F" w:rsidP="00856F51">
            <w:pPr>
              <w:pStyle w:val="DHHStabletext"/>
            </w:pPr>
            <w:r w:rsidRPr="002F356F">
              <w:t xml:space="preserve">Responsible for delivery of HRAR operations aligned to agreed standards. This also includes any partner agencies. </w:t>
            </w:r>
          </w:p>
        </w:tc>
      </w:tr>
      <w:tr w:rsidR="002F356F" w:rsidRPr="00D248D4" w14:paraId="71FEAF01" w14:textId="77777777" w:rsidTr="00717ED8">
        <w:trPr>
          <w:trHeight w:val="1140"/>
        </w:trPr>
        <w:tc>
          <w:tcPr>
            <w:tcW w:w="2259" w:type="dxa"/>
            <w:hideMark/>
          </w:tcPr>
          <w:p w14:paraId="4BB84EC3" w14:textId="77777777" w:rsidR="002F356F" w:rsidRPr="00856F51" w:rsidRDefault="002F356F" w:rsidP="00856F51">
            <w:pPr>
              <w:pStyle w:val="DHHStabletext"/>
              <w:rPr>
                <w:rStyle w:val="Strong"/>
              </w:rPr>
            </w:pPr>
            <w:r w:rsidRPr="00856F51">
              <w:rPr>
                <w:rStyle w:val="Strong"/>
              </w:rPr>
              <w:t>Learning and improvement</w:t>
            </w:r>
          </w:p>
        </w:tc>
        <w:tc>
          <w:tcPr>
            <w:tcW w:w="7942" w:type="dxa"/>
            <w:hideMark/>
          </w:tcPr>
          <w:p w14:paraId="78B279FC" w14:textId="77777777" w:rsidR="002F356F" w:rsidRPr="002F356F" w:rsidRDefault="002F356F" w:rsidP="00856F51">
            <w:pPr>
              <w:pStyle w:val="DHHStabletext"/>
            </w:pPr>
            <w:r w:rsidRPr="002F356F">
              <w:t>A commitment to learning that incorporates the experience of residents and responds effectively to those lessons. Public health education and engagement campaigns remain an important part of Government’s overall response. This is particularly true in public housing settings.</w:t>
            </w:r>
          </w:p>
        </w:tc>
      </w:tr>
      <w:tr w:rsidR="002F356F" w:rsidRPr="00D248D4" w14:paraId="184566C1" w14:textId="77777777" w:rsidTr="00717ED8">
        <w:trPr>
          <w:trHeight w:val="300"/>
        </w:trPr>
        <w:tc>
          <w:tcPr>
            <w:tcW w:w="2259" w:type="dxa"/>
            <w:hideMark/>
          </w:tcPr>
          <w:p w14:paraId="528CC04F" w14:textId="77777777" w:rsidR="002F356F" w:rsidRPr="00856F51" w:rsidRDefault="002F356F" w:rsidP="00856F51">
            <w:pPr>
              <w:pStyle w:val="DHHStabletext"/>
              <w:rPr>
                <w:rStyle w:val="Strong"/>
              </w:rPr>
            </w:pPr>
            <w:r w:rsidRPr="00856F51">
              <w:rPr>
                <w:rStyle w:val="Strong"/>
              </w:rPr>
              <w:t>LGBTIQ</w:t>
            </w:r>
          </w:p>
        </w:tc>
        <w:tc>
          <w:tcPr>
            <w:tcW w:w="7942" w:type="dxa"/>
            <w:hideMark/>
          </w:tcPr>
          <w:p w14:paraId="7CBA75C8" w14:textId="77777777" w:rsidR="002F356F" w:rsidRPr="002F356F" w:rsidRDefault="002F356F" w:rsidP="00856F51">
            <w:pPr>
              <w:pStyle w:val="DHHStabletext"/>
            </w:pPr>
            <w:r w:rsidRPr="002F356F">
              <w:t>Lesbian, Gay, Bisexual, Trans and Gender Diverse, Intersex and Queer/Questioning.</w:t>
            </w:r>
          </w:p>
        </w:tc>
      </w:tr>
      <w:tr w:rsidR="002F356F" w:rsidRPr="00D248D4" w14:paraId="0E0C9932" w14:textId="77777777" w:rsidTr="00717ED8">
        <w:trPr>
          <w:trHeight w:val="570"/>
        </w:trPr>
        <w:tc>
          <w:tcPr>
            <w:tcW w:w="2259" w:type="dxa"/>
            <w:hideMark/>
          </w:tcPr>
          <w:p w14:paraId="3983BF93" w14:textId="77777777" w:rsidR="002F356F" w:rsidRPr="00856F51" w:rsidRDefault="002F356F" w:rsidP="00856F51">
            <w:pPr>
              <w:pStyle w:val="DHHStabletext"/>
              <w:rPr>
                <w:rStyle w:val="Strong"/>
              </w:rPr>
            </w:pPr>
            <w:r w:rsidRPr="00856F51">
              <w:rPr>
                <w:rStyle w:val="Strong"/>
              </w:rPr>
              <w:t>Local Social Support Network</w:t>
            </w:r>
          </w:p>
        </w:tc>
        <w:tc>
          <w:tcPr>
            <w:tcW w:w="7942" w:type="dxa"/>
            <w:hideMark/>
          </w:tcPr>
          <w:p w14:paraId="0E592C7E" w14:textId="77777777" w:rsidR="002F356F" w:rsidRPr="002F356F" w:rsidRDefault="002F356F" w:rsidP="00856F51">
            <w:pPr>
              <w:pStyle w:val="DHHStabletext"/>
            </w:pPr>
            <w:r w:rsidRPr="002F356F">
              <w:t>A support network consisting of: social service navigator(s), and key local community support officers.</w:t>
            </w:r>
          </w:p>
        </w:tc>
      </w:tr>
      <w:tr w:rsidR="002F356F" w:rsidRPr="00D248D4" w14:paraId="033F4759" w14:textId="77777777" w:rsidTr="00717ED8">
        <w:trPr>
          <w:trHeight w:val="570"/>
        </w:trPr>
        <w:tc>
          <w:tcPr>
            <w:tcW w:w="2259" w:type="dxa"/>
            <w:hideMark/>
          </w:tcPr>
          <w:p w14:paraId="145DC837" w14:textId="77777777" w:rsidR="002F356F" w:rsidRPr="00856F51" w:rsidRDefault="002F356F" w:rsidP="00856F51">
            <w:pPr>
              <w:pStyle w:val="DHHStabletext"/>
              <w:rPr>
                <w:rStyle w:val="Strong"/>
              </w:rPr>
            </w:pPr>
            <w:r w:rsidRPr="00856F51">
              <w:rPr>
                <w:rStyle w:val="Strong"/>
              </w:rPr>
              <w:t>Low Density Housing</w:t>
            </w:r>
          </w:p>
        </w:tc>
        <w:tc>
          <w:tcPr>
            <w:tcW w:w="7942" w:type="dxa"/>
            <w:hideMark/>
          </w:tcPr>
          <w:p w14:paraId="6CD6B088" w14:textId="77777777" w:rsidR="002F356F" w:rsidRPr="002F356F" w:rsidRDefault="002F356F" w:rsidP="00856F51">
            <w:pPr>
              <w:pStyle w:val="DHHStabletext"/>
            </w:pPr>
            <w:r w:rsidRPr="002F356F">
              <w:t>Includes a large detached home on a very large residential block, or houses which have their own block of land. This type of accommodation is out of scope for the High-Risk Accommodation Response.</w:t>
            </w:r>
          </w:p>
        </w:tc>
      </w:tr>
      <w:tr w:rsidR="002F356F" w:rsidRPr="00D248D4" w14:paraId="0A75B2A8" w14:textId="77777777" w:rsidTr="00717ED8">
        <w:trPr>
          <w:trHeight w:val="600"/>
        </w:trPr>
        <w:tc>
          <w:tcPr>
            <w:tcW w:w="2259" w:type="dxa"/>
            <w:hideMark/>
          </w:tcPr>
          <w:p w14:paraId="2DA0D136" w14:textId="77777777" w:rsidR="002F356F" w:rsidRPr="00856F51" w:rsidRDefault="002F356F" w:rsidP="00856F51">
            <w:pPr>
              <w:pStyle w:val="DHHStabletext"/>
              <w:rPr>
                <w:rStyle w:val="Strong"/>
              </w:rPr>
            </w:pPr>
            <w:r w:rsidRPr="00856F51">
              <w:rPr>
                <w:rStyle w:val="Strong"/>
              </w:rPr>
              <w:t xml:space="preserve">Low-rise public housing (metro and regional) </w:t>
            </w:r>
          </w:p>
        </w:tc>
        <w:tc>
          <w:tcPr>
            <w:tcW w:w="7942" w:type="dxa"/>
            <w:hideMark/>
          </w:tcPr>
          <w:p w14:paraId="0D86E116" w14:textId="77777777" w:rsidR="002F356F" w:rsidRPr="002F356F" w:rsidRDefault="002F356F" w:rsidP="00856F51">
            <w:pPr>
              <w:pStyle w:val="DHHStabletext"/>
            </w:pPr>
            <w:r w:rsidRPr="002F356F">
              <w:t>Low-rise public housing potentially has more than one house or unit on the block. There are in-scope for the High-Risk Accommodation Response when there are shared facilities (i.e. laundry, kitchen) or access points (i.e. lifts, stairs). They could also be deemed in-scope when there is identified risks which could be large families living in one house or serious co-morbidities within the housing community, making the residents more likely to transmit COVID-19 and with poorer health outcomes.</w:t>
            </w:r>
          </w:p>
        </w:tc>
      </w:tr>
      <w:tr w:rsidR="002F356F" w:rsidRPr="00D248D4" w14:paraId="4C929F62" w14:textId="77777777" w:rsidTr="00717ED8">
        <w:trPr>
          <w:trHeight w:val="570"/>
        </w:trPr>
        <w:tc>
          <w:tcPr>
            <w:tcW w:w="2259" w:type="dxa"/>
            <w:hideMark/>
          </w:tcPr>
          <w:p w14:paraId="60538A35" w14:textId="77777777" w:rsidR="002F356F" w:rsidRPr="00856F51" w:rsidRDefault="002F356F" w:rsidP="00856F51">
            <w:pPr>
              <w:pStyle w:val="DHHStabletext"/>
              <w:rPr>
                <w:rStyle w:val="Strong"/>
              </w:rPr>
            </w:pPr>
            <w:r w:rsidRPr="00856F51">
              <w:rPr>
                <w:rStyle w:val="Strong"/>
              </w:rPr>
              <w:t>National Relay Service (NRS)</w:t>
            </w:r>
          </w:p>
        </w:tc>
        <w:tc>
          <w:tcPr>
            <w:tcW w:w="7942" w:type="dxa"/>
            <w:hideMark/>
          </w:tcPr>
          <w:p w14:paraId="7FE9EF6A" w14:textId="77777777" w:rsidR="002F356F" w:rsidRPr="002F356F" w:rsidRDefault="002F356F" w:rsidP="00856F51">
            <w:pPr>
              <w:pStyle w:val="DHHStabletext"/>
            </w:pPr>
            <w:r w:rsidRPr="002F356F">
              <w:t>The National Relay Service (NRS) is a government initiative that allows people who are deaf, hard of hearing and/or have a speech impairment to make and receive phone calls.</w:t>
            </w:r>
          </w:p>
        </w:tc>
      </w:tr>
      <w:tr w:rsidR="002F356F" w:rsidRPr="00D248D4" w14:paraId="5774059F" w14:textId="77777777" w:rsidTr="00717ED8">
        <w:trPr>
          <w:trHeight w:val="945"/>
        </w:trPr>
        <w:tc>
          <w:tcPr>
            <w:tcW w:w="2259" w:type="dxa"/>
            <w:hideMark/>
          </w:tcPr>
          <w:p w14:paraId="2FF93F68" w14:textId="77777777" w:rsidR="002F356F" w:rsidRPr="00856F51" w:rsidRDefault="002F356F" w:rsidP="00856F51">
            <w:pPr>
              <w:pStyle w:val="DHHStabletext"/>
              <w:rPr>
                <w:rStyle w:val="Strong"/>
              </w:rPr>
            </w:pPr>
            <w:r w:rsidRPr="00856F51">
              <w:rPr>
                <w:rStyle w:val="Strong"/>
              </w:rPr>
              <w:t>Non-government</w:t>
            </w:r>
          </w:p>
        </w:tc>
        <w:tc>
          <w:tcPr>
            <w:tcW w:w="7942" w:type="dxa"/>
            <w:hideMark/>
          </w:tcPr>
          <w:p w14:paraId="0802333B" w14:textId="77777777" w:rsidR="002F356F" w:rsidRPr="002F356F" w:rsidRDefault="002F356F" w:rsidP="00856F51">
            <w:pPr>
              <w:pStyle w:val="DHHStabletext"/>
            </w:pPr>
            <w:r w:rsidRPr="002F356F">
              <w:t>Non-government and high-risk accommodation with shared facilities (including private providers) covers many types of accommodation. Examples include supported residential services, rooming houses, other high-density settings with vulnerable populations and compliance issues (case by case), for example a backpacker hostel, caravan park or retirement living park.</w:t>
            </w:r>
          </w:p>
        </w:tc>
      </w:tr>
      <w:tr w:rsidR="002F356F" w:rsidRPr="00D248D4" w14:paraId="4B973BE6" w14:textId="77777777" w:rsidTr="00717ED8">
        <w:trPr>
          <w:trHeight w:val="570"/>
        </w:trPr>
        <w:tc>
          <w:tcPr>
            <w:tcW w:w="2259" w:type="dxa"/>
            <w:hideMark/>
          </w:tcPr>
          <w:p w14:paraId="19087E87" w14:textId="77777777" w:rsidR="002F356F" w:rsidRPr="00856F51" w:rsidRDefault="002F356F" w:rsidP="00856F51">
            <w:pPr>
              <w:pStyle w:val="DHHStabletext"/>
              <w:rPr>
                <w:rStyle w:val="Strong"/>
              </w:rPr>
            </w:pPr>
            <w:r w:rsidRPr="00856F51">
              <w:rPr>
                <w:rStyle w:val="Strong"/>
              </w:rPr>
              <w:t>Outbreak</w:t>
            </w:r>
          </w:p>
        </w:tc>
        <w:tc>
          <w:tcPr>
            <w:tcW w:w="7942" w:type="dxa"/>
            <w:hideMark/>
          </w:tcPr>
          <w:p w14:paraId="75EACBBE" w14:textId="77777777" w:rsidR="002F356F" w:rsidRPr="002F356F" w:rsidRDefault="002F356F" w:rsidP="00856F51">
            <w:pPr>
              <w:pStyle w:val="DHHStabletext"/>
            </w:pPr>
            <w:r w:rsidRPr="002F356F">
              <w:t xml:space="preserve">Disease outbreaks are usually caused by an infection, transmitted through person-to-person contact, animal-to-person contact, or from the environment or other media. </w:t>
            </w:r>
          </w:p>
        </w:tc>
      </w:tr>
      <w:tr w:rsidR="002F356F" w:rsidRPr="00D248D4" w14:paraId="2577FEAC" w14:textId="77777777" w:rsidTr="00717ED8">
        <w:trPr>
          <w:trHeight w:val="855"/>
        </w:trPr>
        <w:tc>
          <w:tcPr>
            <w:tcW w:w="2259" w:type="dxa"/>
            <w:hideMark/>
          </w:tcPr>
          <w:p w14:paraId="03E1B469" w14:textId="77777777" w:rsidR="002F356F" w:rsidRPr="00856F51" w:rsidRDefault="002F356F" w:rsidP="00856F51">
            <w:pPr>
              <w:pStyle w:val="DHHStabletext"/>
              <w:rPr>
                <w:rStyle w:val="Strong"/>
              </w:rPr>
            </w:pPr>
            <w:r w:rsidRPr="00856F51">
              <w:rPr>
                <w:rStyle w:val="Strong"/>
              </w:rPr>
              <w:t>Partnerships</w:t>
            </w:r>
          </w:p>
        </w:tc>
        <w:tc>
          <w:tcPr>
            <w:tcW w:w="7942" w:type="dxa"/>
            <w:hideMark/>
          </w:tcPr>
          <w:p w14:paraId="04D2C90F" w14:textId="77777777" w:rsidR="002F356F" w:rsidRPr="002F356F" w:rsidRDefault="002F356F" w:rsidP="00856F51">
            <w:pPr>
              <w:pStyle w:val="DHHStabletext"/>
            </w:pPr>
            <w:r w:rsidRPr="002F356F">
              <w:t>The department and Lead Provider make community partnerships with other organisations and influential members of the community to reach the health and welfare outcomes required within the HRAR model.</w:t>
            </w:r>
          </w:p>
        </w:tc>
      </w:tr>
      <w:tr w:rsidR="002F356F" w:rsidRPr="00D248D4" w14:paraId="68616D7A" w14:textId="77777777" w:rsidTr="00717ED8">
        <w:trPr>
          <w:trHeight w:val="855"/>
        </w:trPr>
        <w:tc>
          <w:tcPr>
            <w:tcW w:w="2259" w:type="dxa"/>
            <w:hideMark/>
          </w:tcPr>
          <w:p w14:paraId="0771C522" w14:textId="77777777" w:rsidR="002F356F" w:rsidRPr="00856F51" w:rsidRDefault="002F356F" w:rsidP="00856F51">
            <w:pPr>
              <w:pStyle w:val="DHHStabletext"/>
              <w:rPr>
                <w:rStyle w:val="Strong"/>
              </w:rPr>
            </w:pPr>
            <w:r w:rsidRPr="00856F51">
              <w:rPr>
                <w:rStyle w:val="Strong"/>
              </w:rPr>
              <w:t>Personal Protective Equipment (PPE)</w:t>
            </w:r>
          </w:p>
        </w:tc>
        <w:tc>
          <w:tcPr>
            <w:tcW w:w="7942" w:type="dxa"/>
            <w:hideMark/>
          </w:tcPr>
          <w:p w14:paraId="32A4691E" w14:textId="77777777" w:rsidR="002F356F" w:rsidRPr="002F356F" w:rsidRDefault="002F356F" w:rsidP="00856F51">
            <w:pPr>
              <w:pStyle w:val="DHHStabletext"/>
            </w:pPr>
            <w:r w:rsidRPr="002F356F">
              <w:t>PPE protects the wearer from infection. Proper use helps keep health workers safe and stops the spread of COVID-19. PPE includes but is not limited to surgical masks, P2/N95 respirators, gloves, goggles, glasses, face shields, gowns and aprons.</w:t>
            </w:r>
          </w:p>
        </w:tc>
      </w:tr>
      <w:tr w:rsidR="002F356F" w:rsidRPr="00D248D4" w14:paraId="3D675C4B" w14:textId="77777777" w:rsidTr="00717ED8">
        <w:trPr>
          <w:trHeight w:val="554"/>
        </w:trPr>
        <w:tc>
          <w:tcPr>
            <w:tcW w:w="2259" w:type="dxa"/>
            <w:hideMark/>
          </w:tcPr>
          <w:p w14:paraId="7CB1C964" w14:textId="77777777" w:rsidR="002F356F" w:rsidRPr="00856F51" w:rsidRDefault="002F356F" w:rsidP="00856F51">
            <w:pPr>
              <w:pStyle w:val="DHHStabletext"/>
              <w:rPr>
                <w:rStyle w:val="Strong"/>
              </w:rPr>
            </w:pPr>
            <w:r w:rsidRPr="00856F51">
              <w:rPr>
                <w:rStyle w:val="Strong"/>
              </w:rPr>
              <w:t>Person-centred care</w:t>
            </w:r>
          </w:p>
        </w:tc>
        <w:tc>
          <w:tcPr>
            <w:tcW w:w="7942" w:type="dxa"/>
            <w:hideMark/>
          </w:tcPr>
          <w:p w14:paraId="4B880CFE" w14:textId="77777777" w:rsidR="002F356F" w:rsidRPr="002F356F" w:rsidRDefault="002F356F" w:rsidP="00856F51">
            <w:pPr>
              <w:pStyle w:val="DHHStabletext"/>
            </w:pPr>
            <w:r w:rsidRPr="002F356F">
              <w:t>Must put the needs of the patient (and their family) at the centre of the care model through a community-led approach to ensure their holistic needs are met.</w:t>
            </w:r>
          </w:p>
        </w:tc>
      </w:tr>
      <w:tr w:rsidR="002F356F" w:rsidRPr="00D248D4" w14:paraId="2E1BFE30" w14:textId="77777777" w:rsidTr="00717ED8">
        <w:trPr>
          <w:trHeight w:val="636"/>
        </w:trPr>
        <w:tc>
          <w:tcPr>
            <w:tcW w:w="2259" w:type="dxa"/>
            <w:hideMark/>
          </w:tcPr>
          <w:p w14:paraId="414C71ED" w14:textId="77777777" w:rsidR="002F356F" w:rsidRPr="00856F51" w:rsidRDefault="002F356F" w:rsidP="00856F51">
            <w:pPr>
              <w:pStyle w:val="DHHStabletext"/>
              <w:rPr>
                <w:rStyle w:val="Strong"/>
              </w:rPr>
            </w:pPr>
            <w:r w:rsidRPr="00856F51">
              <w:rPr>
                <w:rStyle w:val="Strong"/>
              </w:rPr>
              <w:t>Resident Voice approach</w:t>
            </w:r>
          </w:p>
        </w:tc>
        <w:tc>
          <w:tcPr>
            <w:tcW w:w="7942" w:type="dxa"/>
            <w:hideMark/>
          </w:tcPr>
          <w:p w14:paraId="2CBB7248" w14:textId="77777777" w:rsidR="002F356F" w:rsidRPr="002F356F" w:rsidRDefault="002F356F" w:rsidP="00856F51">
            <w:pPr>
              <w:pStyle w:val="DHHStabletext"/>
            </w:pPr>
            <w:r w:rsidRPr="002F356F">
              <w:t xml:space="preserve">A key aspect to the community engagement model, which empowers residents to contribute to the decisions regarding their homes and welfare. </w:t>
            </w:r>
          </w:p>
        </w:tc>
      </w:tr>
      <w:tr w:rsidR="002F356F" w:rsidRPr="00D248D4" w14:paraId="6CEF9ECC" w14:textId="77777777" w:rsidTr="00717ED8">
        <w:trPr>
          <w:trHeight w:val="1140"/>
        </w:trPr>
        <w:tc>
          <w:tcPr>
            <w:tcW w:w="2259" w:type="dxa"/>
            <w:hideMark/>
          </w:tcPr>
          <w:p w14:paraId="02F33C9A" w14:textId="77777777" w:rsidR="002F356F" w:rsidRPr="00856F51" w:rsidRDefault="002F356F" w:rsidP="00856F51">
            <w:pPr>
              <w:pStyle w:val="DHHStabletext"/>
              <w:rPr>
                <w:rStyle w:val="Strong"/>
              </w:rPr>
            </w:pPr>
            <w:r w:rsidRPr="00856F51">
              <w:rPr>
                <w:rStyle w:val="Strong"/>
              </w:rPr>
              <w:lastRenderedPageBreak/>
              <w:t>Respect and transparency</w:t>
            </w:r>
          </w:p>
        </w:tc>
        <w:tc>
          <w:tcPr>
            <w:tcW w:w="7942" w:type="dxa"/>
            <w:hideMark/>
          </w:tcPr>
          <w:p w14:paraId="48688629" w14:textId="77777777" w:rsidR="002F356F" w:rsidRPr="002F356F" w:rsidRDefault="002F356F" w:rsidP="00856F51">
            <w:pPr>
              <w:pStyle w:val="DHHStabletext"/>
            </w:pPr>
            <w:r w:rsidRPr="002F356F">
              <w:t>The department defined respect and transparency in the context of the High-Risk Accommodation Response as the safety, amenity and human rights of residents, their homes and neighbourhood will be respected. Residents will know what service response is being proposed, when/how/why this may change and have a chance to input into the ongoing care and support available for their community.</w:t>
            </w:r>
          </w:p>
        </w:tc>
      </w:tr>
      <w:tr w:rsidR="002F356F" w:rsidRPr="00D248D4" w14:paraId="3DC411DD" w14:textId="77777777" w:rsidTr="00717ED8">
        <w:trPr>
          <w:trHeight w:val="411"/>
        </w:trPr>
        <w:tc>
          <w:tcPr>
            <w:tcW w:w="2259" w:type="dxa"/>
            <w:hideMark/>
          </w:tcPr>
          <w:p w14:paraId="3FABE907" w14:textId="77777777" w:rsidR="002F356F" w:rsidRPr="00856F51" w:rsidRDefault="002F356F" w:rsidP="00856F51">
            <w:pPr>
              <w:pStyle w:val="DHHStabletext"/>
              <w:rPr>
                <w:rStyle w:val="Strong"/>
              </w:rPr>
            </w:pPr>
            <w:r w:rsidRPr="00856F51">
              <w:rPr>
                <w:rStyle w:val="Strong"/>
              </w:rPr>
              <w:t>Social Services</w:t>
            </w:r>
          </w:p>
        </w:tc>
        <w:tc>
          <w:tcPr>
            <w:tcW w:w="7942" w:type="dxa"/>
            <w:hideMark/>
          </w:tcPr>
          <w:p w14:paraId="41178131" w14:textId="77777777" w:rsidR="002F356F" w:rsidRPr="002F356F" w:rsidRDefault="002F356F" w:rsidP="00856F51">
            <w:pPr>
              <w:pStyle w:val="DHHStabletext"/>
            </w:pPr>
            <w:r w:rsidRPr="002F356F">
              <w:t xml:space="preserve">Services which positively impact the wellbeing of the community. </w:t>
            </w:r>
          </w:p>
        </w:tc>
      </w:tr>
      <w:tr w:rsidR="002F356F" w:rsidRPr="00D248D4" w14:paraId="056F1D87" w14:textId="77777777" w:rsidTr="00717ED8">
        <w:trPr>
          <w:trHeight w:val="855"/>
        </w:trPr>
        <w:tc>
          <w:tcPr>
            <w:tcW w:w="2259" w:type="dxa"/>
            <w:hideMark/>
          </w:tcPr>
          <w:p w14:paraId="25EE15B1" w14:textId="77777777" w:rsidR="002F356F" w:rsidRPr="00856F51" w:rsidRDefault="002F356F" w:rsidP="00856F51">
            <w:pPr>
              <w:pStyle w:val="DHHStabletext"/>
              <w:rPr>
                <w:rStyle w:val="Strong"/>
              </w:rPr>
            </w:pPr>
            <w:r w:rsidRPr="00856F51">
              <w:rPr>
                <w:rStyle w:val="Strong"/>
              </w:rPr>
              <w:t>Stage of restrictions within the community</w:t>
            </w:r>
          </w:p>
        </w:tc>
        <w:tc>
          <w:tcPr>
            <w:tcW w:w="7942" w:type="dxa"/>
            <w:hideMark/>
          </w:tcPr>
          <w:p w14:paraId="39C2E8F0" w14:textId="77777777" w:rsidR="002F356F" w:rsidRPr="002F356F" w:rsidRDefault="002F356F" w:rsidP="00856F51">
            <w:pPr>
              <w:pStyle w:val="DHHStabletext"/>
            </w:pPr>
            <w:r w:rsidRPr="002F356F">
              <w:t>Directions issued by the Victorian Chief Health Officer (CHO) to help contain the spread of COVID-19. These directions are made publicly available, and apply to the whole state, including any variations determined to individual Local Government Areas (LGA).</w:t>
            </w:r>
          </w:p>
        </w:tc>
      </w:tr>
      <w:tr w:rsidR="002F356F" w:rsidRPr="00D248D4" w14:paraId="1D2C088E" w14:textId="77777777" w:rsidTr="00717ED8">
        <w:trPr>
          <w:trHeight w:val="758"/>
        </w:trPr>
        <w:tc>
          <w:tcPr>
            <w:tcW w:w="2259" w:type="dxa"/>
            <w:hideMark/>
          </w:tcPr>
          <w:p w14:paraId="12CC6B75" w14:textId="77777777" w:rsidR="002F356F" w:rsidRPr="00856F51" w:rsidRDefault="002F356F" w:rsidP="00856F51">
            <w:pPr>
              <w:pStyle w:val="DHHStabletext"/>
              <w:rPr>
                <w:rStyle w:val="Strong"/>
              </w:rPr>
            </w:pPr>
            <w:r w:rsidRPr="00856F51">
              <w:rPr>
                <w:rStyle w:val="Strong"/>
              </w:rPr>
              <w:t>Stand-alone housing</w:t>
            </w:r>
          </w:p>
        </w:tc>
        <w:tc>
          <w:tcPr>
            <w:tcW w:w="7942" w:type="dxa"/>
            <w:hideMark/>
          </w:tcPr>
          <w:p w14:paraId="778DFCE6" w14:textId="4A876920" w:rsidR="002F356F" w:rsidRPr="002F356F" w:rsidRDefault="002F356F" w:rsidP="00856F51">
            <w:pPr>
              <w:pStyle w:val="DHHStabletext"/>
            </w:pPr>
            <w:r w:rsidRPr="002F356F">
              <w:t>A dwelling which is on its own block of land. This accommodation type is out of scope for the HRAR.</w:t>
            </w:r>
          </w:p>
        </w:tc>
      </w:tr>
      <w:tr w:rsidR="002F356F" w:rsidRPr="00D248D4" w14:paraId="3D395542" w14:textId="77777777" w:rsidTr="00717ED8">
        <w:trPr>
          <w:trHeight w:val="1140"/>
        </w:trPr>
        <w:tc>
          <w:tcPr>
            <w:tcW w:w="2259" w:type="dxa"/>
            <w:hideMark/>
          </w:tcPr>
          <w:p w14:paraId="3D50F2F2" w14:textId="77777777" w:rsidR="002F356F" w:rsidRPr="00856F51" w:rsidRDefault="002F356F" w:rsidP="00856F51">
            <w:pPr>
              <w:pStyle w:val="DHHStabletext"/>
              <w:rPr>
                <w:rStyle w:val="Strong"/>
              </w:rPr>
            </w:pPr>
            <w:r w:rsidRPr="00856F51">
              <w:rPr>
                <w:rStyle w:val="Strong"/>
              </w:rPr>
              <w:t>Student accommodation</w:t>
            </w:r>
          </w:p>
        </w:tc>
        <w:tc>
          <w:tcPr>
            <w:tcW w:w="7942" w:type="dxa"/>
            <w:hideMark/>
          </w:tcPr>
          <w:p w14:paraId="65851311" w14:textId="77777777" w:rsidR="002F356F" w:rsidRPr="002F356F" w:rsidRDefault="002F356F" w:rsidP="00856F51">
            <w:pPr>
              <w:pStyle w:val="DHHStabletext"/>
            </w:pPr>
            <w:r w:rsidRPr="002F356F">
              <w:t>Accommodation privately owned and rented by an organisation or private arrangement for student living. Although these environments may be described as high-density living, these are out of scope for the High-Risk Accommodation Response. Students living in these accommodations will be supported as part of the broader community response, including through mobile testing and engagement through Operation Drasi.</w:t>
            </w:r>
          </w:p>
        </w:tc>
      </w:tr>
      <w:tr w:rsidR="002F356F" w:rsidRPr="00D248D4" w14:paraId="618D52FB" w14:textId="77777777" w:rsidTr="00717ED8">
        <w:trPr>
          <w:trHeight w:val="600"/>
        </w:trPr>
        <w:tc>
          <w:tcPr>
            <w:tcW w:w="2259" w:type="dxa"/>
            <w:hideMark/>
          </w:tcPr>
          <w:p w14:paraId="5B8895E6" w14:textId="77777777" w:rsidR="002F356F" w:rsidRPr="00856F51" w:rsidRDefault="002F356F" w:rsidP="00856F51">
            <w:pPr>
              <w:pStyle w:val="DHHStabletext"/>
              <w:rPr>
                <w:rStyle w:val="Strong"/>
              </w:rPr>
            </w:pPr>
            <w:r w:rsidRPr="00856F51">
              <w:rPr>
                <w:rStyle w:val="Strong"/>
              </w:rPr>
              <w:t>Tourist and Commercial Accommodation</w:t>
            </w:r>
          </w:p>
        </w:tc>
        <w:tc>
          <w:tcPr>
            <w:tcW w:w="7942" w:type="dxa"/>
            <w:hideMark/>
          </w:tcPr>
          <w:p w14:paraId="21EB78FD" w14:textId="77777777" w:rsidR="002F356F" w:rsidRPr="002F356F" w:rsidRDefault="002F356F" w:rsidP="00856F51">
            <w:pPr>
              <w:pStyle w:val="DHHStabletext"/>
            </w:pPr>
            <w:r w:rsidRPr="002F356F">
              <w:t>Accommodation privately owned and rented by an organisation or private arrangement for tourist or commercial purposes. These accommodation types are out of scope for the HRAR.</w:t>
            </w:r>
          </w:p>
        </w:tc>
      </w:tr>
      <w:tr w:rsidR="002F356F" w:rsidRPr="00D248D4" w14:paraId="4AFD5EA0" w14:textId="77777777" w:rsidTr="00717ED8">
        <w:trPr>
          <w:trHeight w:val="855"/>
        </w:trPr>
        <w:tc>
          <w:tcPr>
            <w:tcW w:w="2259" w:type="dxa"/>
            <w:hideMark/>
          </w:tcPr>
          <w:p w14:paraId="05B5558F" w14:textId="77777777" w:rsidR="002F356F" w:rsidRPr="00856F51" w:rsidRDefault="002F356F" w:rsidP="00856F51">
            <w:pPr>
              <w:pStyle w:val="DHHStabletext"/>
              <w:rPr>
                <w:rStyle w:val="Strong"/>
              </w:rPr>
            </w:pPr>
            <w:r w:rsidRPr="00856F51">
              <w:rPr>
                <w:rStyle w:val="Strong"/>
              </w:rPr>
              <w:t>Translating and Interpreter Service (TIS)</w:t>
            </w:r>
          </w:p>
        </w:tc>
        <w:tc>
          <w:tcPr>
            <w:tcW w:w="7942" w:type="dxa"/>
            <w:hideMark/>
          </w:tcPr>
          <w:p w14:paraId="189FF16B" w14:textId="77777777" w:rsidR="002F356F" w:rsidRPr="002F356F" w:rsidRDefault="002F356F" w:rsidP="00856F51">
            <w:pPr>
              <w:pStyle w:val="DHHStabletext"/>
            </w:pPr>
            <w:r w:rsidRPr="002F356F">
              <w:t>The Translating and Interpreting Service (TIS National) is an interpreting service provided by the Department of Home Affairs for people who do not speak English and for agencies and businesses that need to communicate with their non-English speaking clients.</w:t>
            </w:r>
          </w:p>
        </w:tc>
      </w:tr>
    </w:tbl>
    <w:p w14:paraId="6C961023" w14:textId="77777777" w:rsidR="006F2CF0" w:rsidRDefault="006F2CF0"/>
    <w:tbl>
      <w:tblPr>
        <w:tblStyle w:val="TableGrid"/>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85" w:type="dxa"/>
          <w:bottom w:w="28" w:type="dxa"/>
          <w:right w:w="85" w:type="dxa"/>
        </w:tblCellMar>
        <w:tblLook w:val="04A0" w:firstRow="1" w:lastRow="0" w:firstColumn="1" w:lastColumn="0" w:noHBand="0" w:noVBand="1"/>
        <w:tblCaption w:val="Abbreviations"/>
        <w:tblDescription w:val="Abbreviation; Definition"/>
      </w:tblPr>
      <w:tblGrid>
        <w:gridCol w:w="2259"/>
        <w:gridCol w:w="7942"/>
      </w:tblGrid>
      <w:tr w:rsidR="002F356F" w:rsidRPr="00D248D4" w14:paraId="632B562C" w14:textId="77777777" w:rsidTr="00717ED8">
        <w:trPr>
          <w:trHeight w:val="366"/>
        </w:trPr>
        <w:tc>
          <w:tcPr>
            <w:tcW w:w="2259" w:type="dxa"/>
          </w:tcPr>
          <w:p w14:paraId="4BB1CC06" w14:textId="77777777" w:rsidR="002F356F" w:rsidRPr="00384990" w:rsidRDefault="002F356F" w:rsidP="00856F51">
            <w:pPr>
              <w:pStyle w:val="DHHStabletext"/>
              <w:rPr>
                <w:rStyle w:val="Strong"/>
              </w:rPr>
            </w:pPr>
            <w:r w:rsidRPr="00384990">
              <w:rPr>
                <w:rStyle w:val="Strong"/>
              </w:rPr>
              <w:t>DH</w:t>
            </w:r>
          </w:p>
        </w:tc>
        <w:tc>
          <w:tcPr>
            <w:tcW w:w="7942" w:type="dxa"/>
          </w:tcPr>
          <w:p w14:paraId="7EECF2CB" w14:textId="77777777" w:rsidR="002F356F" w:rsidRPr="00856F51" w:rsidRDefault="002F356F" w:rsidP="00856F51">
            <w:pPr>
              <w:pStyle w:val="DHHStabletext"/>
            </w:pPr>
            <w:r w:rsidRPr="00856F51">
              <w:t>Department of Health (Vic)</w:t>
            </w:r>
          </w:p>
        </w:tc>
      </w:tr>
      <w:tr w:rsidR="002F356F" w:rsidRPr="00D248D4" w14:paraId="42E685BC" w14:textId="77777777" w:rsidTr="00717ED8">
        <w:trPr>
          <w:trHeight w:val="414"/>
        </w:trPr>
        <w:tc>
          <w:tcPr>
            <w:tcW w:w="2259" w:type="dxa"/>
          </w:tcPr>
          <w:p w14:paraId="1095BCB7" w14:textId="77777777" w:rsidR="002F356F" w:rsidRPr="00384990" w:rsidRDefault="002F356F" w:rsidP="00856F51">
            <w:pPr>
              <w:pStyle w:val="DHHStabletext"/>
              <w:rPr>
                <w:rStyle w:val="Strong"/>
              </w:rPr>
            </w:pPr>
            <w:r w:rsidRPr="00384990">
              <w:rPr>
                <w:rStyle w:val="Strong"/>
              </w:rPr>
              <w:t>DFFH</w:t>
            </w:r>
          </w:p>
        </w:tc>
        <w:tc>
          <w:tcPr>
            <w:tcW w:w="7942" w:type="dxa"/>
          </w:tcPr>
          <w:p w14:paraId="5B756D14" w14:textId="77777777" w:rsidR="002F356F" w:rsidRPr="00856F51" w:rsidRDefault="002F356F" w:rsidP="00856F51">
            <w:pPr>
              <w:pStyle w:val="DHHStabletext"/>
            </w:pPr>
            <w:r w:rsidRPr="00856F51">
              <w:t>Department of Families, Fairness and Housing (Vic)</w:t>
            </w:r>
          </w:p>
        </w:tc>
      </w:tr>
      <w:tr w:rsidR="002F356F" w:rsidRPr="00D248D4" w14:paraId="5E2DA340" w14:textId="77777777" w:rsidTr="00717ED8">
        <w:trPr>
          <w:trHeight w:val="420"/>
        </w:trPr>
        <w:tc>
          <w:tcPr>
            <w:tcW w:w="2259" w:type="dxa"/>
          </w:tcPr>
          <w:p w14:paraId="20A56599" w14:textId="77777777" w:rsidR="002F356F" w:rsidRPr="00384990" w:rsidRDefault="002F356F" w:rsidP="00856F51">
            <w:pPr>
              <w:pStyle w:val="DHHStabletext"/>
              <w:rPr>
                <w:rStyle w:val="Strong"/>
              </w:rPr>
            </w:pPr>
            <w:r w:rsidRPr="00384990">
              <w:rPr>
                <w:rStyle w:val="Strong"/>
              </w:rPr>
              <w:t>HSCRRC</w:t>
            </w:r>
          </w:p>
        </w:tc>
        <w:tc>
          <w:tcPr>
            <w:tcW w:w="7942" w:type="dxa"/>
          </w:tcPr>
          <w:p w14:paraId="0437726E" w14:textId="77777777" w:rsidR="002F356F" w:rsidRPr="00856F51" w:rsidRDefault="002F356F" w:rsidP="00856F51">
            <w:pPr>
              <w:pStyle w:val="DHHStabletext"/>
            </w:pPr>
            <w:r w:rsidRPr="00856F51">
              <w:t>Human Services COVID Readiness and Response Centre</w:t>
            </w:r>
          </w:p>
        </w:tc>
      </w:tr>
      <w:tr w:rsidR="002F356F" w:rsidRPr="00D248D4" w14:paraId="344DC55A" w14:textId="77777777" w:rsidTr="00717ED8">
        <w:trPr>
          <w:trHeight w:val="420"/>
        </w:trPr>
        <w:tc>
          <w:tcPr>
            <w:tcW w:w="2259" w:type="dxa"/>
          </w:tcPr>
          <w:p w14:paraId="17DCBE6C" w14:textId="77777777" w:rsidR="002F356F" w:rsidRPr="00384990" w:rsidRDefault="002F356F" w:rsidP="00856F51">
            <w:pPr>
              <w:pStyle w:val="DHHStabletext"/>
              <w:rPr>
                <w:rStyle w:val="Strong"/>
              </w:rPr>
            </w:pPr>
            <w:r w:rsidRPr="00384990">
              <w:rPr>
                <w:rStyle w:val="Strong"/>
              </w:rPr>
              <w:t>RREM</w:t>
            </w:r>
          </w:p>
        </w:tc>
        <w:tc>
          <w:tcPr>
            <w:tcW w:w="7942" w:type="dxa"/>
          </w:tcPr>
          <w:p w14:paraId="0A81E57E" w14:textId="77777777" w:rsidR="002F356F" w:rsidRPr="00856F51" w:rsidRDefault="002F356F" w:rsidP="00856F51">
            <w:pPr>
              <w:pStyle w:val="DHHStabletext"/>
            </w:pPr>
            <w:r w:rsidRPr="00856F51">
              <w:t>Readiness, Response and Emergency Management (a division of DFFH)</w:t>
            </w:r>
          </w:p>
        </w:tc>
      </w:tr>
      <w:tr w:rsidR="002F356F" w:rsidRPr="00D248D4" w14:paraId="5DC0586A" w14:textId="77777777" w:rsidTr="00717ED8">
        <w:trPr>
          <w:trHeight w:val="420"/>
        </w:trPr>
        <w:tc>
          <w:tcPr>
            <w:tcW w:w="2259" w:type="dxa"/>
          </w:tcPr>
          <w:p w14:paraId="2698D87A" w14:textId="77777777" w:rsidR="002F356F" w:rsidRPr="00384990" w:rsidRDefault="002F356F" w:rsidP="00856F51">
            <w:pPr>
              <w:pStyle w:val="DHHStabletext"/>
              <w:rPr>
                <w:rStyle w:val="Strong"/>
              </w:rPr>
            </w:pPr>
            <w:r w:rsidRPr="00384990">
              <w:rPr>
                <w:rStyle w:val="Strong"/>
              </w:rPr>
              <w:t>CPRO</w:t>
            </w:r>
          </w:p>
        </w:tc>
        <w:tc>
          <w:tcPr>
            <w:tcW w:w="7942" w:type="dxa"/>
          </w:tcPr>
          <w:p w14:paraId="50B57E6F" w14:textId="77777777" w:rsidR="002F356F" w:rsidRPr="00856F51" w:rsidRDefault="002F356F" w:rsidP="00856F51">
            <w:pPr>
              <w:pStyle w:val="DHHStabletext"/>
            </w:pPr>
            <w:r w:rsidRPr="00856F51">
              <w:t>COVID Prevention, Response Operations (a team within the RREM)</w:t>
            </w:r>
          </w:p>
        </w:tc>
      </w:tr>
      <w:tr w:rsidR="002F356F" w:rsidRPr="00D248D4" w14:paraId="32C662A5" w14:textId="77777777" w:rsidTr="00717ED8">
        <w:trPr>
          <w:trHeight w:val="420"/>
        </w:trPr>
        <w:tc>
          <w:tcPr>
            <w:tcW w:w="2259" w:type="dxa"/>
          </w:tcPr>
          <w:p w14:paraId="370CD085" w14:textId="77777777" w:rsidR="002F356F" w:rsidRPr="00384990" w:rsidRDefault="002F356F" w:rsidP="00856F51">
            <w:pPr>
              <w:pStyle w:val="DHHStabletext"/>
              <w:rPr>
                <w:rStyle w:val="Strong"/>
              </w:rPr>
            </w:pPr>
            <w:r w:rsidRPr="00384990">
              <w:rPr>
                <w:rStyle w:val="Strong"/>
              </w:rPr>
              <w:t>PPE</w:t>
            </w:r>
          </w:p>
        </w:tc>
        <w:tc>
          <w:tcPr>
            <w:tcW w:w="7942" w:type="dxa"/>
          </w:tcPr>
          <w:p w14:paraId="01A85B62" w14:textId="77777777" w:rsidR="002F356F" w:rsidRPr="00856F51" w:rsidRDefault="002F356F" w:rsidP="00856F51">
            <w:pPr>
              <w:pStyle w:val="DHHStabletext"/>
            </w:pPr>
            <w:r w:rsidRPr="00856F51">
              <w:t>Policy Planning and Engagement (a team within the RREM)</w:t>
            </w:r>
          </w:p>
        </w:tc>
      </w:tr>
    </w:tbl>
    <w:p w14:paraId="5D2176A4" w14:textId="77777777" w:rsidR="00931F10" w:rsidRPr="00664CC1" w:rsidRDefault="00931F10" w:rsidP="00931F10">
      <w:pPr>
        <w:spacing w:after="160" w:line="259" w:lineRule="auto"/>
        <w:rPr>
          <w:rFonts w:cs="Arial"/>
          <w:szCs w:val="21"/>
          <w:u w:val="dotted"/>
        </w:rPr>
      </w:pPr>
    </w:p>
    <w:sectPr w:rsidR="00931F10" w:rsidRPr="00664CC1" w:rsidSect="008061FD">
      <w:pgSz w:w="11906" w:h="16838" w:code="9"/>
      <w:pgMar w:top="567" w:right="720" w:bottom="720" w:left="720"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2FDC0" w14:textId="77777777" w:rsidR="00065F65" w:rsidRDefault="00065F65">
      <w:r>
        <w:separator/>
      </w:r>
    </w:p>
    <w:p w14:paraId="60BD7674" w14:textId="77777777" w:rsidR="00065F65" w:rsidRDefault="00065F65"/>
  </w:endnote>
  <w:endnote w:type="continuationSeparator" w:id="0">
    <w:p w14:paraId="55952CE4" w14:textId="77777777" w:rsidR="00065F65" w:rsidRDefault="00065F65">
      <w:r>
        <w:continuationSeparator/>
      </w:r>
    </w:p>
    <w:p w14:paraId="56E80D7B" w14:textId="77777777" w:rsidR="00065F65" w:rsidRDefault="0006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E5C0" w14:textId="77777777" w:rsidR="000B7BDC" w:rsidRDefault="000B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C27F3" w14:textId="522780DD" w:rsidR="00065F65" w:rsidRDefault="00065F65">
    <w:pPr>
      <w:pStyle w:val="Footer"/>
    </w:pPr>
    <w:r>
      <w:rPr>
        <w:noProof/>
      </w:rPr>
      <mc:AlternateContent>
        <mc:Choice Requires="wps">
          <w:drawing>
            <wp:anchor distT="0" distB="0" distL="114300" distR="114300" simplePos="0" relativeHeight="251697662" behindDoc="0" locked="0" layoutInCell="0" allowOverlap="1" wp14:anchorId="50878550" wp14:editId="5C818A03">
              <wp:simplePos x="0" y="0"/>
              <wp:positionH relativeFrom="page">
                <wp:align>center</wp:align>
              </wp:positionH>
              <wp:positionV relativeFrom="page">
                <wp:align>bottom</wp:align>
              </wp:positionV>
              <wp:extent cx="7772400" cy="502285"/>
              <wp:effectExtent l="0" t="0" r="0" b="12065"/>
              <wp:wrapNone/>
              <wp:docPr id="7" name="MSIPCM83354b6aa0221db1d262744e"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A4AC2" w14:textId="72A67707" w:rsidR="00065F65" w:rsidRPr="000B7BDC" w:rsidRDefault="000B7BDC" w:rsidP="000B7BDC">
                          <w:pPr>
                            <w:spacing w:after="0"/>
                            <w:jc w:val="center"/>
                            <w:rPr>
                              <w:rFonts w:ascii="Arial Black" w:hAnsi="Arial Black"/>
                              <w:color w:val="000000"/>
                              <w:sz w:val="20"/>
                            </w:rPr>
                          </w:pPr>
                          <w:r w:rsidRPr="000B7BD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0878550" id="_x0000_t202" coordsize="21600,21600" o:spt="202" path="m,l,21600r21600,l21600,xe">
              <v:stroke joinstyle="miter"/>
              <v:path gradientshapeok="t" o:connecttype="rect"/>
            </v:shapetype>
            <v:shape id="MSIPCM83354b6aa0221db1d262744e" o:spid="_x0000_s1031" type="#_x0000_t202" alt="{&quot;HashCode&quot;:904758361,&quot;Height&quot;:9999999.0,&quot;Width&quot;:9999999.0,&quot;Placement&quot;:&quot;Footer&quot;,&quot;Index&quot;:&quot;Primary&quot;,&quot;Section&quot;:1,&quot;Top&quot;:0.0,&quot;Left&quot;:0.0}" style="position:absolute;margin-left:0;margin-top:0;width:612pt;height:39.55pt;z-index:25169766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3wqgIAAE8FAAAOAAAAZHJzL2Uyb0RvYy54bWysVN1v0zAQf0fif7D8wBM0afq5snQqnQqV&#10;uq1Sh/bsOk4TKfF5trukIP53zk7SjQEviDw4d/c73/f58qouC/IktMlBxrTfCykRkkOSy0NMv96v&#10;PkwpMZbJhBUgRUxPwtCr+ds3l5WaiQgyKBKhCRqRZlapmGbWqlkQGJ6JkpkeKCERTEGXzCKrD0Gi&#10;WYXWyyKIwnAcVKATpYELY1B63YB07u2nqeD2Lk2NsKSIKcZm/an9uXdnML9ks4NmKst5Gwb7hyhK&#10;lkt0ejZ1zSwjR53/ZqrMuQYDqe1xKANI05wLnwNm0w9fZbPLmBI+FyyOUecymf9nlt8+bTXJk5hO&#10;KJGsxBbd7Nbb5c10MBgN92PGwijqJ/t+Eo2jyXAoKEmE4VjB7+8ej2A/fmEmW0IiGm52EQ4no+lg&#10;3H/fwiI/ZLYDL/zXC1vwIU9s9hdsWzAuSiG7u43aCsAK3dCtkbVMRN0aaX5bnZdMn37R2uEk4Ii2&#10;el1096BaSXgOaiPSzicKf7gJqZSZYaF2Cktl609Q46R3coNC1/g61aX7Y0sJ4jhrp/N8idoSjsLJ&#10;ZBINQ4Q4YiMs7HTkzATPt5U29rOAkjgiphqj9mPFnjbGNqqdinMmYZUXhZ/hQpIqpuPBKPQXzgga&#10;LyT6cDk0sTrK1vu6TWwPyQnz0tDshlF8laPzDTN2yzQuA8aLC27v8EgLQCfQUpRkoL/9Se70cUYR&#10;paTC5YqpeTwyjcNTrCVO70V/OHTb6Bkk9EvpvpPKY7kE3Ns+PiGKe9Lp2qIjUw3lA+7/wnlDiEmO&#10;PmPKre6YpUUeIXxBuFgsPI2bp5jdyJ3izrgrpCvqff3AtGorb7Fnt9AtIJu9akCj27RgcbSQ5r47&#10;rrRNPduK49b6/rYvjHsWXvJe6/kdnP8EAAD//wMAUEsDBBQABgAIAAAAIQDYP/032wAAAAUBAAAP&#10;AAAAZHJzL2Rvd25yZXYueG1sTI9LT8MwEITvSPwHa5G4UacBtTSNU/EQEpwQKZfe3HjzKPE6it3G&#10;/Hu2XOCy0mhmZ7/NN9H24oSj7xwpmM8SEEiVMx01Cj63Lzf3IHzQZHTvCBV8o4dNcXmR68y4iT7w&#10;VIZGcAn5TCtoQxgyKX3VotV+5gYk9mo3Wh1Yjo00o5643PYyTZKFtLojvtDqAZ9arL7Ko2UMN7yl&#10;h8WUPN/GXfka6/fHLtRKXV/FhzWIgDH8heGMzztQMNPeHcl40SvgR8LvPHtpesd6r2C5moMscvmf&#10;vvgBAAD//wMAUEsBAi0AFAAGAAgAAAAhALaDOJL+AAAA4QEAABMAAAAAAAAAAAAAAAAAAAAAAFtD&#10;b250ZW50X1R5cGVzXS54bWxQSwECLQAUAAYACAAAACEAOP0h/9YAAACUAQAACwAAAAAAAAAAAAAA&#10;AAAvAQAAX3JlbHMvLnJlbHNQSwECLQAUAAYACAAAACEASFCd8KoCAABPBQAADgAAAAAAAAAAAAAA&#10;AAAuAgAAZHJzL2Uyb0RvYy54bWxQSwECLQAUAAYACAAAACEA2D/9N9sAAAAFAQAADwAAAAAAAAAA&#10;AAAAAAAEBQAAZHJzL2Rvd25yZXYueG1sUEsFBgAAAAAEAAQA8wAAAAwGAAAAAA==&#10;" o:allowincell="f" filled="f" stroked="f" strokeweight=".5pt">
              <v:textbox inset=",0,,0">
                <w:txbxContent>
                  <w:p w14:paraId="242A4AC2" w14:textId="72A67707" w:rsidR="00065F65" w:rsidRPr="000B7BDC" w:rsidRDefault="000B7BDC" w:rsidP="000B7BDC">
                    <w:pPr>
                      <w:spacing w:after="0"/>
                      <w:jc w:val="center"/>
                      <w:rPr>
                        <w:rFonts w:ascii="Arial Black" w:hAnsi="Arial Black"/>
                        <w:color w:val="000000"/>
                        <w:sz w:val="20"/>
                      </w:rPr>
                    </w:pPr>
                    <w:r w:rsidRPr="000B7BDC">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C5DE5" w14:textId="77777777" w:rsidR="000B7BDC" w:rsidRDefault="000B7B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88F43" w14:textId="4839AE90" w:rsidR="00065F65" w:rsidRDefault="00065F65">
    <w:pPr>
      <w:pStyle w:val="Footer"/>
    </w:pPr>
    <w:r>
      <w:rPr>
        <w:noProof/>
      </w:rPr>
      <mc:AlternateContent>
        <mc:Choice Requires="wps">
          <w:drawing>
            <wp:anchor distT="0" distB="0" distL="114300" distR="114300" simplePos="0" relativeHeight="251697663" behindDoc="0" locked="0" layoutInCell="0" allowOverlap="1" wp14:anchorId="67EA94DD" wp14:editId="70987CA3">
              <wp:simplePos x="0" y="0"/>
              <wp:positionH relativeFrom="page">
                <wp:align>center</wp:align>
              </wp:positionH>
              <wp:positionV relativeFrom="page">
                <wp:align>bottom</wp:align>
              </wp:positionV>
              <wp:extent cx="7772400" cy="502285"/>
              <wp:effectExtent l="0" t="0" r="0" b="12065"/>
              <wp:wrapNone/>
              <wp:docPr id="8" name="MSIPCM535c497b87769b6942a72572"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CD8CE" w14:textId="423884EB" w:rsidR="00065F65" w:rsidRPr="000B7BDC" w:rsidRDefault="000B7BDC" w:rsidP="000B7BDC">
                          <w:pPr>
                            <w:spacing w:after="0"/>
                            <w:jc w:val="center"/>
                            <w:rPr>
                              <w:rFonts w:ascii="Arial Black" w:hAnsi="Arial Black"/>
                              <w:color w:val="000000"/>
                              <w:sz w:val="20"/>
                            </w:rPr>
                          </w:pPr>
                          <w:r w:rsidRPr="000B7BD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7EA94DD" id="_x0000_t202" coordsize="21600,21600" o:spt="202" path="m,l,21600r21600,l21600,xe">
              <v:stroke joinstyle="miter"/>
              <v:path gradientshapeok="t" o:connecttype="rect"/>
            </v:shapetype>
            <v:shape id="MSIPCM535c497b87769b6942a72572" o:spid="_x0000_s1032" type="#_x0000_t202" alt="{&quot;HashCode&quot;:904758361,&quot;Height&quot;:9999999.0,&quot;Width&quot;:9999999.0,&quot;Placement&quot;:&quot;Footer&quot;,&quot;Index&quot;:&quot;Primary&quot;,&quot;Section&quot;:2,&quot;Top&quot;:0.0,&quot;Left&quot;:0.0}" style="position:absolute;margin-left:0;margin-top:0;width:612pt;height:39.55pt;z-index:2516976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plrgIAAFYFAAAOAAAAZHJzL2Uyb0RvYy54bWysVF9v2jAQf5+072D5YU8bCSkQYA0Vo2JD&#10;oi0SnfpsHIdESnyubUrYtO++s5PQrttepuXBOd/vfP/vLq/qqiRPQpsCZEL7vZASITmkhdwn9Ov9&#10;8sOYEmOZTFkJUiT0JAy9mr19c3lUUxFBDmUqNEEl0kyPKqG5tWoaBIbnomKmB0pIBDPQFbN41fsg&#10;1eyI2qsyiMJwFBxBp0oDF8Yg97oB6czrzzLB7V2WGWFJmVD0zfpT+3PnzmB2yaZ7zVRe8NYN9g9e&#10;VKyQaPSs6ppZRg66+E1VVXANBjLb41AFkGUFFz4GjKYfvopmmzMlfCyYHKPOaTL/Ty2/fdpoUqQJ&#10;xUJJVmGJbrarzeJmeDHkg0m8G8fxaLIbTQYRi6NhHFGSCsMxg9/fPR7AfvzCTL6AVDS36SQcxMPx&#10;xaj/voVFsc9tB0781wtb8KFIbf4XbFMyLiohu7eN2BLACt3QrZKVTEXdKml+G11UTJ9+kdpiJ2CL&#10;tnJR+/YeVMsJz06tRdbZROYP1yFHZaaYqK3CVNn6E9TY6R3fINMVvs505f5YUoI49trp3F+itoQj&#10;M47jaBAixBEbhlE0Hjo1wfNrpY39LKAijkioRq99W7GntbGNaCfijElYFmXpe7iU5JjQ0cUw9A/O&#10;CCovJdpwMTS+OsrWu9pX/RzHDtIThqehGRGj+LJAH9bM2A3TOBPoNs65vcMjKwFtQUtRkoP+9ie+&#10;k8dWRZSSI85YQs3jgWlBSbmS2MST/mDghtJfkNAvubuOKw/VAnB8+7hJFPekk7VlR2YaqgdcA3Nn&#10;DSEmOdpMKLe6uyws3hHCRcLFfO5pHEDF7FpuFXfKXT5dbu/rB6ZVWwCLpbuFbg7Z9FUdGtmmEvOD&#10;hazwRXIZbvLZJh6H15e5XTRuO7y8e6nndTj7CQ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MABSmWuAgAAVgUAAA4AAAAAAAAA&#10;AAAAAAAALgIAAGRycy9lMm9Eb2MueG1sUEsBAi0AFAAGAAgAAAAhANg//TfbAAAABQEAAA8AAAAA&#10;AAAAAAAAAAAACAUAAGRycy9kb3ducmV2LnhtbFBLBQYAAAAABAAEAPMAAAAQBgAAAAA=&#10;" o:allowincell="f" filled="f" stroked="f" strokeweight=".5pt">
              <v:textbox inset=",0,,0">
                <w:txbxContent>
                  <w:p w14:paraId="043CD8CE" w14:textId="423884EB" w:rsidR="00065F65" w:rsidRPr="000B7BDC" w:rsidRDefault="000B7BDC" w:rsidP="000B7BDC">
                    <w:pPr>
                      <w:spacing w:after="0"/>
                      <w:jc w:val="center"/>
                      <w:rPr>
                        <w:rFonts w:ascii="Arial Black" w:hAnsi="Arial Black"/>
                        <w:color w:val="000000"/>
                        <w:sz w:val="20"/>
                      </w:rPr>
                    </w:pPr>
                    <w:r w:rsidRPr="000B7BD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A0490" w14:textId="1F1C63AF" w:rsidR="00065F65" w:rsidRDefault="00065F65" w:rsidP="005D790A">
    <w:pPr>
      <w:pStyle w:val="Footer"/>
      <w:tabs>
        <w:tab w:val="left" w:pos="2311"/>
      </w:tabs>
    </w:pPr>
    <w:r>
      <w:rPr>
        <w:noProof/>
        <w:lang w:eastAsia="en-AU"/>
      </w:rPr>
      <w:drawing>
        <wp:anchor distT="0" distB="0" distL="114300" distR="114300" simplePos="0" relativeHeight="251692544" behindDoc="1" locked="1" layoutInCell="1" allowOverlap="1" wp14:anchorId="14F1C9EA" wp14:editId="34932DAC">
          <wp:simplePos x="0" y="0"/>
          <wp:positionH relativeFrom="page">
            <wp:align>right</wp:align>
          </wp:positionH>
          <wp:positionV relativeFrom="page">
            <wp:align>bottom</wp:align>
          </wp:positionV>
          <wp:extent cx="7560000" cy="1008000"/>
          <wp:effectExtent l="0" t="0" r="3175" b="1905"/>
          <wp:wrapNone/>
          <wp:docPr id="15" name="Picture 1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FA8D0" w14:textId="44B28926" w:rsidR="00065F65" w:rsidRDefault="00065F65">
    <w:pPr>
      <w:pStyle w:val="Footer"/>
    </w:pPr>
    <w:r>
      <w:rPr>
        <w:noProof/>
      </w:rPr>
      <mc:AlternateContent>
        <mc:Choice Requires="wps">
          <w:drawing>
            <wp:anchor distT="0" distB="0" distL="114300" distR="114300" simplePos="0" relativeHeight="251697664" behindDoc="0" locked="0" layoutInCell="0" allowOverlap="1" wp14:anchorId="10445C09" wp14:editId="4FA3445A">
              <wp:simplePos x="0" y="0"/>
              <wp:positionH relativeFrom="page">
                <wp:align>center</wp:align>
              </wp:positionH>
              <wp:positionV relativeFrom="page">
                <wp:align>bottom</wp:align>
              </wp:positionV>
              <wp:extent cx="7772400" cy="502285"/>
              <wp:effectExtent l="0" t="0" r="0" b="12065"/>
              <wp:wrapNone/>
              <wp:docPr id="9" name="MSIPCMe7034dfc9f15846849c82b38"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B8ECE" w14:textId="77A9EC43" w:rsidR="00065F65" w:rsidRPr="000B7BDC" w:rsidRDefault="000B7BDC" w:rsidP="000B7BDC">
                          <w:pPr>
                            <w:spacing w:after="0"/>
                            <w:jc w:val="center"/>
                            <w:rPr>
                              <w:rFonts w:ascii="Arial Black" w:hAnsi="Arial Black"/>
                              <w:color w:val="000000"/>
                              <w:sz w:val="20"/>
                            </w:rPr>
                          </w:pPr>
                          <w:r w:rsidRPr="000B7BD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445C09" id="_x0000_t202" coordsize="21600,21600" o:spt="202" path="m,l,21600r21600,l21600,xe">
              <v:stroke joinstyle="miter"/>
              <v:path gradientshapeok="t" o:connecttype="rect"/>
            </v:shapetype>
            <v:shape id="MSIPCMe7034dfc9f15846849c82b38" o:spid="_x0000_s1033" type="#_x0000_t202" alt="{&quot;HashCode&quot;:904758361,&quot;Height&quot;:9999999.0,&quot;Width&quot;:9999999.0,&quot;Placement&quot;:&quot;Footer&quot;,&quot;Index&quot;:&quot;Primary&quot;,&quot;Section&quot;:6,&quot;Top&quot;:0.0,&quot;Left&quot;:0.0}" style="position:absolute;margin-left:0;margin-top:0;width:612pt;height:39.55pt;z-index:2516976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zkrgIAAFYFAAAOAAAAZHJzL2Uyb0RvYy54bWysVEtv2zAMvg/YfxB02GmLnfdjdYosRbYC&#10;aRsgHXpWZCk2YIuqpDTOhv33UbKddt12GeaDTPGj+CYvLquyIE/C2BxUQrudmBKhOKS52if06/3q&#10;w4QS65hKWQFKJPQkLL2cv31zcdQz0YMMilQYgkqUnR11QjPn9CyKLM9EyWwHtFAISjAlc3g1+yg1&#10;7IjayyLqxfEoOoJJtQEurEXuVQ3SedAvpeDuTkorHCkSir65cJpw7vwZzS/YbG+YznLeuMH+wYuS&#10;5QqNnlVdMcfIweS/qSpzbsCCdB0OZQRS5lyEGDCabvwqmm3GtAixYHKsPqfJ/j+1/PZpY0ieJnRK&#10;iWIlluhme71Z3ohx3B+kkk9ldzgZjCaDKZ/0dn0sZyosxwx+f/d4APfxC7PZElJR32bTeDAeTvqj&#10;7vsGFvk+cy04DV8nbsCHPHXZX7BNwbgohWrf1mIrACdMTTdKrlUqqkZJ/duYvGTm9IvUFjsBW7SR&#10;GzVv70E3nPjs1FrI1iYyf/gOOWo7w0RtNabKVZ+gwk5v+RaZvvCVNKX/Y0kJ4thrp3N/icoRjszx&#10;eNwbxAhxxIZxrzcZejXR82ttrPssoCSeSKhBr0Nbsae1dbVoK+KNKVjlRRF6uFDkmNBRfxiHB2cE&#10;lRcKbfgYal895apdFarea+PYQXrC8AzUI2I1X+Xow5pZt2EGZwLdxjl3d3jIAtAWNBQlGZhvf+J7&#10;eWxVRCk54owl1D4emBGUFNcKm3jaHQz8UIYLEuYld9dy1aFcAo5vFzeJ5oH0sq5oSWmgfMA1sPDW&#10;EGKKo82Ecmfay9LhHSFcJFwsFoHGAdTMrdVWc6/c59Pn9r56YEY3BXBYulto55DNXtWhlq0rsTg4&#10;kHkoks9wnc8m8Ti8oczNovHb4eU9SD2vw/lP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JgcLOSuAgAAVgUAAA4AAAAAAAAA&#10;AAAAAAAALgIAAGRycy9lMm9Eb2MueG1sUEsBAi0AFAAGAAgAAAAhANg//TfbAAAABQEAAA8AAAAA&#10;AAAAAAAAAAAACAUAAGRycy9kb3ducmV2LnhtbFBLBQYAAAAABAAEAPMAAAAQBgAAAAA=&#10;" o:allowincell="f" filled="f" stroked="f" strokeweight=".5pt">
              <v:textbox inset=",0,,0">
                <w:txbxContent>
                  <w:p w14:paraId="68EB8ECE" w14:textId="77A9EC43" w:rsidR="00065F65" w:rsidRPr="000B7BDC" w:rsidRDefault="000B7BDC" w:rsidP="000B7BDC">
                    <w:pPr>
                      <w:spacing w:after="0"/>
                      <w:jc w:val="center"/>
                      <w:rPr>
                        <w:rFonts w:ascii="Arial Black" w:hAnsi="Arial Black"/>
                        <w:color w:val="000000"/>
                        <w:sz w:val="20"/>
                      </w:rPr>
                    </w:pPr>
                    <w:r w:rsidRPr="000B7BD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E0A45" w14:textId="77777777" w:rsidR="00065F65" w:rsidRDefault="00065F65" w:rsidP="00207717">
      <w:pPr>
        <w:spacing w:before="120"/>
      </w:pPr>
      <w:r>
        <w:separator/>
      </w:r>
    </w:p>
  </w:footnote>
  <w:footnote w:type="continuationSeparator" w:id="0">
    <w:p w14:paraId="5C2CA0AC" w14:textId="77777777" w:rsidR="00065F65" w:rsidRDefault="00065F65">
      <w:r>
        <w:continuationSeparator/>
      </w:r>
    </w:p>
    <w:p w14:paraId="371CC6B1" w14:textId="77777777" w:rsidR="00065F65" w:rsidRDefault="00065F65"/>
  </w:footnote>
  <w:footnote w:id="1">
    <w:p w14:paraId="4FFFDFA3" w14:textId="77777777" w:rsidR="00065F65" w:rsidRDefault="00065F65" w:rsidP="00CF2561">
      <w:pPr>
        <w:pStyle w:val="FootnoteText"/>
      </w:pPr>
      <w:r>
        <w:rPr>
          <w:rStyle w:val="FootnoteReference"/>
        </w:rPr>
        <w:footnoteRef/>
      </w:r>
      <w:r>
        <w:t xml:space="preserve"> </w:t>
      </w:r>
      <w:r w:rsidRPr="009910EF">
        <w:rPr>
          <w:lang w:eastAsia="en-AU"/>
        </w:rPr>
        <w:t xml:space="preserve">The health concierge in </w:t>
      </w:r>
      <w:r>
        <w:rPr>
          <w:lang w:eastAsia="en-AU"/>
        </w:rPr>
        <w:t xml:space="preserve">high rise </w:t>
      </w:r>
      <w:r w:rsidRPr="009910EF">
        <w:rPr>
          <w:lang w:eastAsia="en-AU"/>
        </w:rPr>
        <w:t>public housing settings differ</w:t>
      </w:r>
      <w:r>
        <w:rPr>
          <w:lang w:eastAsia="en-AU"/>
        </w:rPr>
        <w:t xml:space="preserve">s </w:t>
      </w:r>
      <w:r w:rsidRPr="009910EF">
        <w:rPr>
          <w:lang w:eastAsia="en-AU"/>
        </w:rPr>
        <w:t xml:space="preserve">in </w:t>
      </w:r>
      <w:r>
        <w:t xml:space="preserve">other </w:t>
      </w:r>
      <w:r w:rsidRPr="009910EF">
        <w:rPr>
          <w:lang w:eastAsia="en-AU"/>
        </w:rPr>
        <w:t>high-risk non-government settings</w:t>
      </w:r>
      <w:r>
        <w:rPr>
          <w:lang w:eastAsia="en-AU"/>
        </w:rPr>
        <w:t xml:space="preserve"> where the service</w:t>
      </w:r>
      <w:r w:rsidRPr="009910EF">
        <w:rPr>
          <w:lang w:eastAsia="en-AU"/>
        </w:rPr>
        <w:t xml:space="preserve"> is generally established in a public health-led</w:t>
      </w:r>
      <w:r w:rsidRPr="009910EF">
        <w:t xml:space="preserve"> </w:t>
      </w:r>
      <w:r w:rsidRPr="009910EF">
        <w:rPr>
          <w:lang w:eastAsia="en-AU"/>
        </w:rPr>
        <w:t xml:space="preserve">response to positive cases. </w:t>
      </w:r>
      <w:r>
        <w:rPr>
          <w:lang w:eastAsia="en-AU"/>
        </w:rPr>
        <w:t>(See outbreak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6D1F2" w14:textId="77777777" w:rsidR="000B7BDC" w:rsidRDefault="000B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EF4FF" w14:textId="77777777" w:rsidR="000B7BDC" w:rsidRDefault="000B7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1133" w14:textId="77777777" w:rsidR="000B7BDC" w:rsidRDefault="000B7B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25C38" w14:textId="54368B45" w:rsidR="00065F65" w:rsidRDefault="00065F65">
    <w:pPr>
      <w:pStyle w:val="Header"/>
    </w:pPr>
    <w:r w:rsidRPr="00DE6C85">
      <w:rPr>
        <w:b/>
        <w:bCs/>
      </w:rPr>
      <w:fldChar w:fldCharType="begin"/>
    </w:r>
    <w:r w:rsidRPr="00DE6C85">
      <w:rPr>
        <w:b/>
        <w:bCs/>
      </w:rPr>
      <w:instrText xml:space="preserve"> PAGE </w:instrText>
    </w:r>
    <w:r w:rsidRPr="00DE6C85">
      <w:rPr>
        <w:b/>
        <w:bCs/>
      </w:rPr>
      <w:fldChar w:fldCharType="separate"/>
    </w:r>
    <w:r>
      <w:rPr>
        <w:b/>
        <w:bCs/>
      </w:rPr>
      <w:t>10</w:t>
    </w:r>
    <w:r w:rsidRPr="00DE6C85">
      <w:rPr>
        <w:b/>
        <w:bCs/>
      </w:rPr>
      <w:fldChar w:fldCharType="end"/>
    </w:r>
    <w:r>
      <w:rPr>
        <w:b/>
        <w:bCs/>
      </w:rPr>
      <w:ptab w:relativeTo="margin" w:alignment="right" w:leader="none"/>
    </w:r>
    <w:r>
      <w:t>High-Risk Accommodation Response Extension (HRAR Extension) Service Specifications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F185F" w14:textId="6644D925" w:rsidR="00065F65" w:rsidRDefault="00065F65">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t>Document title</w:t>
    </w:r>
    <w:r>
      <w:rPr>
        <w:noProof/>
      </w:rPr>
      <w:t xml:space="preserve"> </w:t>
    </w:r>
    <w:r w:rsidRPr="009C245E">
      <w:rPr>
        <w:noProof/>
      </w:rPr>
      <w:t>(use Header style)</w:t>
    </w:r>
    <w:r>
      <w:rPr>
        <w:noProof/>
      </w:rPr>
      <w:drawing>
        <wp:anchor distT="0" distB="0" distL="114300" distR="114300" simplePos="0" relativeHeight="251694592" behindDoc="1" locked="1" layoutInCell="1" allowOverlap="1" wp14:anchorId="7A4B52EE" wp14:editId="24C3DFB1">
          <wp:simplePos x="828040" y="560705"/>
          <wp:positionH relativeFrom="page">
            <wp:posOffset>0</wp:posOffset>
          </wp:positionH>
          <wp:positionV relativeFrom="page">
            <wp:posOffset>0</wp:posOffset>
          </wp:positionV>
          <wp:extent cx="7560000" cy="270000"/>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A3E9" w14:textId="36B1F62A" w:rsidR="00065F65" w:rsidRPr="0051568D" w:rsidRDefault="00065F65" w:rsidP="00427407">
    <w:pPr>
      <w:pStyle w:val="Header"/>
      <w:tabs>
        <w:tab w:val="right" w:pos="15026"/>
      </w:tabs>
    </w:pPr>
    <w:r w:rsidRPr="00DE6C85">
      <w:rPr>
        <w:b/>
        <w:bCs/>
      </w:rPr>
      <w:fldChar w:fldCharType="begin"/>
    </w:r>
    <w:r w:rsidRPr="00DE6C85">
      <w:rPr>
        <w:b/>
        <w:bCs/>
      </w:rPr>
      <w:instrText xml:space="preserve"> PAGE </w:instrText>
    </w:r>
    <w:r w:rsidRPr="00DE6C85">
      <w:rPr>
        <w:b/>
        <w:bCs/>
      </w:rPr>
      <w:fldChar w:fldCharType="separate"/>
    </w:r>
    <w:r>
      <w:rPr>
        <w:b/>
        <w:bCs/>
      </w:rPr>
      <w:t>45</w:t>
    </w:r>
    <w:r w:rsidRPr="00DE6C85">
      <w:rPr>
        <w:b/>
        <w:bCs/>
      </w:rPr>
      <w:fldChar w:fldCharType="end"/>
    </w:r>
    <w:r>
      <w:rPr>
        <w:b/>
        <w:bCs/>
      </w:rPr>
      <w:tab/>
    </w:r>
    <w:r>
      <w:t>High-Risk Accommodation Response Extension (HRAR Ext) Service 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1123"/>
    <w:multiLevelType w:val="hybridMultilevel"/>
    <w:tmpl w:val="2D4E71CE"/>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CA6BCC"/>
    <w:multiLevelType w:val="multilevel"/>
    <w:tmpl w:val="6C904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13D04"/>
    <w:multiLevelType w:val="multilevel"/>
    <w:tmpl w:val="EB50E1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B38AE"/>
    <w:multiLevelType w:val="multilevel"/>
    <w:tmpl w:val="BD9A5E16"/>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E31088"/>
    <w:multiLevelType w:val="multilevel"/>
    <w:tmpl w:val="D0284B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42239"/>
    <w:multiLevelType w:val="hybridMultilevel"/>
    <w:tmpl w:val="53185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1602F9"/>
    <w:multiLevelType w:val="multilevel"/>
    <w:tmpl w:val="4E023A0E"/>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BB16397"/>
    <w:multiLevelType w:val="multilevel"/>
    <w:tmpl w:val="8E7A871C"/>
    <w:lvl w:ilvl="0">
      <w:start w:val="2"/>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300B5F64"/>
    <w:multiLevelType w:val="hybridMultilevel"/>
    <w:tmpl w:val="9AC63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E315B3"/>
    <w:multiLevelType w:val="hybridMultilevel"/>
    <w:tmpl w:val="666491DE"/>
    <w:lvl w:ilvl="0" w:tplc="94A866D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6D15D0"/>
    <w:multiLevelType w:val="multilevel"/>
    <w:tmpl w:val="BB9CE40E"/>
    <w:styleLink w:val="CurrentList1"/>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B475D59"/>
    <w:multiLevelType w:val="multilevel"/>
    <w:tmpl w:val="BD9A5E16"/>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D6E7711"/>
    <w:multiLevelType w:val="hybridMultilevel"/>
    <w:tmpl w:val="2A62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C95DD6"/>
    <w:multiLevelType w:val="multilevel"/>
    <w:tmpl w:val="BD9A5E16"/>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02A3C09"/>
    <w:multiLevelType w:val="hybridMultilevel"/>
    <w:tmpl w:val="C5A256D2"/>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87337B1"/>
    <w:multiLevelType w:val="hybridMultilevel"/>
    <w:tmpl w:val="8CB2FAF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E61675"/>
    <w:multiLevelType w:val="hybridMultilevel"/>
    <w:tmpl w:val="2A3C9A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D8944C3"/>
    <w:multiLevelType w:val="multilevel"/>
    <w:tmpl w:val="BD9A5E16"/>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F942AAB"/>
    <w:multiLevelType w:val="hybridMultilevel"/>
    <w:tmpl w:val="719CDA9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C6497F"/>
    <w:multiLevelType w:val="hybridMultilevel"/>
    <w:tmpl w:val="849A6D0C"/>
    <w:lvl w:ilvl="0" w:tplc="0809000F">
      <w:start w:val="1"/>
      <w:numFmt w:val="decimal"/>
      <w:lvlText w:val="%1."/>
      <w:lvlJc w:val="left"/>
      <w:pPr>
        <w:ind w:left="360" w:hanging="360"/>
      </w:p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23" w15:restartNumberingAfterBreak="0">
    <w:nsid w:val="53760BCB"/>
    <w:multiLevelType w:val="multilevel"/>
    <w:tmpl w:val="BD9A5E16"/>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AC62BA4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8323AF2"/>
    <w:multiLevelType w:val="multilevel"/>
    <w:tmpl w:val="11F2AE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856697A"/>
    <w:multiLevelType w:val="hybridMultilevel"/>
    <w:tmpl w:val="80801E64"/>
    <w:lvl w:ilvl="0" w:tplc="3F96D08C">
      <w:start w:val="1"/>
      <w:numFmt w:val="bullet"/>
      <w:pStyle w:val="DHHS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D21214"/>
    <w:multiLevelType w:val="hybridMultilevel"/>
    <w:tmpl w:val="5584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F7352"/>
    <w:multiLevelType w:val="multilevel"/>
    <w:tmpl w:val="CE869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DC690C"/>
    <w:multiLevelType w:val="multilevel"/>
    <w:tmpl w:val="90128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C55C26"/>
    <w:multiLevelType w:val="hybridMultilevel"/>
    <w:tmpl w:val="CA0A8E0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DA6566E"/>
    <w:multiLevelType w:val="hybridMultilevel"/>
    <w:tmpl w:val="F01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82078"/>
    <w:multiLevelType w:val="multilevel"/>
    <w:tmpl w:val="C5362F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D77DAF"/>
    <w:multiLevelType w:val="multilevel"/>
    <w:tmpl w:val="D4847F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693714"/>
    <w:multiLevelType w:val="multilevel"/>
    <w:tmpl w:val="7C38F4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CF52AD"/>
    <w:multiLevelType w:val="multilevel"/>
    <w:tmpl w:val="0ED08F9E"/>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7734650F"/>
    <w:multiLevelType w:val="multilevel"/>
    <w:tmpl w:val="8A2C2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C0B24"/>
    <w:multiLevelType w:val="multilevel"/>
    <w:tmpl w:val="BD9A5E16"/>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4"/>
  </w:num>
  <w:num w:numId="2">
    <w:abstractNumId w:val="25"/>
  </w:num>
  <w:num w:numId="3">
    <w:abstractNumId w:val="24"/>
  </w:num>
  <w:num w:numId="4">
    <w:abstractNumId w:val="27"/>
  </w:num>
  <w:num w:numId="5">
    <w:abstractNumId w:val="15"/>
  </w:num>
  <w:num w:numId="6">
    <w:abstractNumId w:val="1"/>
  </w:num>
  <w:num w:numId="7">
    <w:abstractNumId w:val="2"/>
  </w:num>
  <w:num w:numId="8">
    <w:abstractNumId w:val="31"/>
  </w:num>
  <w:num w:numId="9">
    <w:abstractNumId w:val="38"/>
  </w:num>
  <w:num w:numId="10">
    <w:abstractNumId w:val="3"/>
  </w:num>
  <w:num w:numId="11">
    <w:abstractNumId w:val="34"/>
  </w:num>
  <w:num w:numId="12">
    <w:abstractNumId w:val="35"/>
  </w:num>
  <w:num w:numId="13">
    <w:abstractNumId w:val="30"/>
  </w:num>
  <w:num w:numId="14">
    <w:abstractNumId w:val="26"/>
  </w:num>
  <w:num w:numId="15">
    <w:abstractNumId w:val="5"/>
  </w:num>
  <w:num w:numId="16">
    <w:abstractNumId w:val="36"/>
  </w:num>
  <w:num w:numId="17">
    <w:abstractNumId w:val="9"/>
  </w:num>
  <w:num w:numId="18">
    <w:abstractNumId w:val="12"/>
  </w:num>
  <w:num w:numId="19">
    <w:abstractNumId w:val="39"/>
  </w:num>
  <w:num w:numId="20">
    <w:abstractNumId w:val="20"/>
  </w:num>
  <w:num w:numId="21">
    <w:abstractNumId w:val="28"/>
  </w:num>
  <w:num w:numId="22">
    <w:abstractNumId w:val="23"/>
  </w:num>
  <w:num w:numId="23">
    <w:abstractNumId w:val="16"/>
  </w:num>
  <w:num w:numId="24">
    <w:abstractNumId w:val="4"/>
  </w:num>
  <w:num w:numId="25">
    <w:abstractNumId w:val="6"/>
  </w:num>
  <w:num w:numId="26">
    <w:abstractNumId w:val="21"/>
  </w:num>
  <w:num w:numId="27">
    <w:abstractNumId w:val="19"/>
  </w:num>
  <w:num w:numId="28">
    <w:abstractNumId w:val="18"/>
  </w:num>
  <w:num w:numId="29">
    <w:abstractNumId w:val="13"/>
  </w:num>
  <w:num w:numId="30">
    <w:abstractNumId w:val="29"/>
  </w:num>
  <w:num w:numId="31">
    <w:abstractNumId w:val="32"/>
  </w:num>
  <w:num w:numId="32">
    <w:abstractNumId w:val="17"/>
  </w:num>
  <w:num w:numId="33">
    <w:abstractNumId w:val="22"/>
  </w:num>
  <w:num w:numId="34">
    <w:abstractNumId w:val="37"/>
  </w:num>
  <w:num w:numId="35">
    <w:abstractNumId w:val="0"/>
  </w:num>
  <w:num w:numId="36">
    <w:abstractNumId w:val="8"/>
  </w:num>
  <w:num w:numId="37">
    <w:abstractNumId w:val="11"/>
  </w:num>
  <w:num w:numId="38">
    <w:abstractNumId w:val="7"/>
  </w:num>
  <w:num w:numId="39">
    <w:abstractNumId w:val="10"/>
  </w:num>
  <w:num w:numId="40">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2A3"/>
    <w:rsid w:val="00011D89"/>
    <w:rsid w:val="000154FD"/>
    <w:rsid w:val="0001614A"/>
    <w:rsid w:val="000174AD"/>
    <w:rsid w:val="00022271"/>
    <w:rsid w:val="000235E8"/>
    <w:rsid w:val="00024D89"/>
    <w:rsid w:val="000250B6"/>
    <w:rsid w:val="00026002"/>
    <w:rsid w:val="0003286C"/>
    <w:rsid w:val="00033D81"/>
    <w:rsid w:val="00033DC9"/>
    <w:rsid w:val="00037366"/>
    <w:rsid w:val="00041BF0"/>
    <w:rsid w:val="00042C8A"/>
    <w:rsid w:val="0004536B"/>
    <w:rsid w:val="00046B68"/>
    <w:rsid w:val="000527DD"/>
    <w:rsid w:val="00056EC4"/>
    <w:rsid w:val="000578B2"/>
    <w:rsid w:val="00060959"/>
    <w:rsid w:val="00060C8F"/>
    <w:rsid w:val="0006298A"/>
    <w:rsid w:val="00065F65"/>
    <w:rsid w:val="000663CD"/>
    <w:rsid w:val="000733FE"/>
    <w:rsid w:val="00074219"/>
    <w:rsid w:val="00074ED5"/>
    <w:rsid w:val="00076F33"/>
    <w:rsid w:val="0008204A"/>
    <w:rsid w:val="00084F37"/>
    <w:rsid w:val="0008508E"/>
    <w:rsid w:val="00087951"/>
    <w:rsid w:val="0009113B"/>
    <w:rsid w:val="00093402"/>
    <w:rsid w:val="00094DA3"/>
    <w:rsid w:val="00096CD1"/>
    <w:rsid w:val="000A012C"/>
    <w:rsid w:val="000A0EB9"/>
    <w:rsid w:val="000A186C"/>
    <w:rsid w:val="000A1EA4"/>
    <w:rsid w:val="000A2476"/>
    <w:rsid w:val="000A641A"/>
    <w:rsid w:val="000A71A5"/>
    <w:rsid w:val="000B3EDB"/>
    <w:rsid w:val="000B543D"/>
    <w:rsid w:val="000B55F9"/>
    <w:rsid w:val="000B5BF7"/>
    <w:rsid w:val="000B6BC8"/>
    <w:rsid w:val="000B7BDC"/>
    <w:rsid w:val="000C0303"/>
    <w:rsid w:val="000C42EA"/>
    <w:rsid w:val="000C4546"/>
    <w:rsid w:val="000C55FE"/>
    <w:rsid w:val="000C7BCD"/>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3DC"/>
    <w:rsid w:val="001712C2"/>
    <w:rsid w:val="00172BAF"/>
    <w:rsid w:val="00175748"/>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170"/>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A73"/>
    <w:rsid w:val="001F6E46"/>
    <w:rsid w:val="001F7C91"/>
    <w:rsid w:val="002033B7"/>
    <w:rsid w:val="002041AA"/>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4DD"/>
    <w:rsid w:val="00250960"/>
    <w:rsid w:val="00251343"/>
    <w:rsid w:val="002536A4"/>
    <w:rsid w:val="00254F58"/>
    <w:rsid w:val="00260557"/>
    <w:rsid w:val="002620BC"/>
    <w:rsid w:val="00262802"/>
    <w:rsid w:val="00263A90"/>
    <w:rsid w:val="0026408B"/>
    <w:rsid w:val="00267C3E"/>
    <w:rsid w:val="002709BB"/>
    <w:rsid w:val="0027131C"/>
    <w:rsid w:val="00272076"/>
    <w:rsid w:val="00273BAC"/>
    <w:rsid w:val="002763B3"/>
    <w:rsid w:val="002802E3"/>
    <w:rsid w:val="0028213D"/>
    <w:rsid w:val="002853C2"/>
    <w:rsid w:val="002862F1"/>
    <w:rsid w:val="00287BA0"/>
    <w:rsid w:val="00291373"/>
    <w:rsid w:val="002946FD"/>
    <w:rsid w:val="0029597D"/>
    <w:rsid w:val="002962C3"/>
    <w:rsid w:val="0029752B"/>
    <w:rsid w:val="00297CF7"/>
    <w:rsid w:val="002A0A9C"/>
    <w:rsid w:val="002A483C"/>
    <w:rsid w:val="002B0C7C"/>
    <w:rsid w:val="002B1729"/>
    <w:rsid w:val="002B36C7"/>
    <w:rsid w:val="002B4DD4"/>
    <w:rsid w:val="002B5277"/>
    <w:rsid w:val="002B5375"/>
    <w:rsid w:val="002B77C1"/>
    <w:rsid w:val="002C0D1E"/>
    <w:rsid w:val="002C0ED7"/>
    <w:rsid w:val="002C2728"/>
    <w:rsid w:val="002C2F47"/>
    <w:rsid w:val="002C5B7C"/>
    <w:rsid w:val="002D1E0D"/>
    <w:rsid w:val="002D5006"/>
    <w:rsid w:val="002D7C61"/>
    <w:rsid w:val="002E01D0"/>
    <w:rsid w:val="002E161D"/>
    <w:rsid w:val="002E28A2"/>
    <w:rsid w:val="002E3100"/>
    <w:rsid w:val="002E6C95"/>
    <w:rsid w:val="002E7C36"/>
    <w:rsid w:val="002F356F"/>
    <w:rsid w:val="002F3D32"/>
    <w:rsid w:val="002F5F31"/>
    <w:rsid w:val="002F5F46"/>
    <w:rsid w:val="00302216"/>
    <w:rsid w:val="00303E53"/>
    <w:rsid w:val="003050AB"/>
    <w:rsid w:val="00305CC1"/>
    <w:rsid w:val="00306886"/>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4990"/>
    <w:rsid w:val="00386109"/>
    <w:rsid w:val="00386944"/>
    <w:rsid w:val="003956CC"/>
    <w:rsid w:val="00395C9A"/>
    <w:rsid w:val="003A0853"/>
    <w:rsid w:val="003A6B67"/>
    <w:rsid w:val="003B077D"/>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007D"/>
    <w:rsid w:val="00411D5F"/>
    <w:rsid w:val="00413D80"/>
    <w:rsid w:val="004148F9"/>
    <w:rsid w:val="0042084E"/>
    <w:rsid w:val="00421EEF"/>
    <w:rsid w:val="0042269B"/>
    <w:rsid w:val="004237DE"/>
    <w:rsid w:val="0042419D"/>
    <w:rsid w:val="00424D65"/>
    <w:rsid w:val="0042531E"/>
    <w:rsid w:val="00427407"/>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76248"/>
    <w:rsid w:val="0047632B"/>
    <w:rsid w:val="00483352"/>
    <w:rsid w:val="00483968"/>
    <w:rsid w:val="004841BE"/>
    <w:rsid w:val="00484F86"/>
    <w:rsid w:val="00490746"/>
    <w:rsid w:val="00490852"/>
    <w:rsid w:val="00491C9C"/>
    <w:rsid w:val="00492F30"/>
    <w:rsid w:val="004946F4"/>
    <w:rsid w:val="0049487E"/>
    <w:rsid w:val="00496113"/>
    <w:rsid w:val="004A160D"/>
    <w:rsid w:val="004A3E81"/>
    <w:rsid w:val="004A4195"/>
    <w:rsid w:val="004A5C14"/>
    <w:rsid w:val="004A5C62"/>
    <w:rsid w:val="004A5CE5"/>
    <w:rsid w:val="004A707D"/>
    <w:rsid w:val="004B0974"/>
    <w:rsid w:val="004B4185"/>
    <w:rsid w:val="004C13C9"/>
    <w:rsid w:val="004C1E48"/>
    <w:rsid w:val="004C5541"/>
    <w:rsid w:val="004C6EEE"/>
    <w:rsid w:val="004C702B"/>
    <w:rsid w:val="004D0033"/>
    <w:rsid w:val="004D016B"/>
    <w:rsid w:val="004D1B22"/>
    <w:rsid w:val="004D23CC"/>
    <w:rsid w:val="004D36F2"/>
    <w:rsid w:val="004E1106"/>
    <w:rsid w:val="004E138F"/>
    <w:rsid w:val="004E4649"/>
    <w:rsid w:val="004E5C2B"/>
    <w:rsid w:val="004E7F2A"/>
    <w:rsid w:val="004F00DD"/>
    <w:rsid w:val="004F2133"/>
    <w:rsid w:val="004F5398"/>
    <w:rsid w:val="004F55F1"/>
    <w:rsid w:val="004F6936"/>
    <w:rsid w:val="00503DC6"/>
    <w:rsid w:val="00506F5D"/>
    <w:rsid w:val="00510C37"/>
    <w:rsid w:val="005126D0"/>
    <w:rsid w:val="00514667"/>
    <w:rsid w:val="0051568D"/>
    <w:rsid w:val="005160C7"/>
    <w:rsid w:val="00526AC7"/>
    <w:rsid w:val="00526C15"/>
    <w:rsid w:val="00526DD7"/>
    <w:rsid w:val="005325AE"/>
    <w:rsid w:val="00536499"/>
    <w:rsid w:val="00541C69"/>
    <w:rsid w:val="00542A03"/>
    <w:rsid w:val="00543903"/>
    <w:rsid w:val="00543BCC"/>
    <w:rsid w:val="00543F11"/>
    <w:rsid w:val="00546305"/>
    <w:rsid w:val="00546895"/>
    <w:rsid w:val="00547A95"/>
    <w:rsid w:val="0055119B"/>
    <w:rsid w:val="00561202"/>
    <w:rsid w:val="00562507"/>
    <w:rsid w:val="00562811"/>
    <w:rsid w:val="00563DFE"/>
    <w:rsid w:val="00572031"/>
    <w:rsid w:val="00572282"/>
    <w:rsid w:val="00573CE3"/>
    <w:rsid w:val="00574F9E"/>
    <w:rsid w:val="00576E84"/>
    <w:rsid w:val="00580394"/>
    <w:rsid w:val="005809CD"/>
    <w:rsid w:val="00582B8C"/>
    <w:rsid w:val="0058757E"/>
    <w:rsid w:val="00593E14"/>
    <w:rsid w:val="00596A4B"/>
    <w:rsid w:val="00597507"/>
    <w:rsid w:val="005A479D"/>
    <w:rsid w:val="005B1AFB"/>
    <w:rsid w:val="005B1C6D"/>
    <w:rsid w:val="005B21B6"/>
    <w:rsid w:val="005B3A08"/>
    <w:rsid w:val="005B7A63"/>
    <w:rsid w:val="005C0955"/>
    <w:rsid w:val="005C49DA"/>
    <w:rsid w:val="005C50F3"/>
    <w:rsid w:val="005C54B5"/>
    <w:rsid w:val="005C5D80"/>
    <w:rsid w:val="005C5D91"/>
    <w:rsid w:val="005C6071"/>
    <w:rsid w:val="005D07B8"/>
    <w:rsid w:val="005D6597"/>
    <w:rsid w:val="005D790A"/>
    <w:rsid w:val="005E14E7"/>
    <w:rsid w:val="005E26A3"/>
    <w:rsid w:val="005E2ECB"/>
    <w:rsid w:val="005E447E"/>
    <w:rsid w:val="005E4FD1"/>
    <w:rsid w:val="005F0775"/>
    <w:rsid w:val="005F0CF5"/>
    <w:rsid w:val="005F121D"/>
    <w:rsid w:val="005F1F38"/>
    <w:rsid w:val="005F21EB"/>
    <w:rsid w:val="005F64CF"/>
    <w:rsid w:val="006041AD"/>
    <w:rsid w:val="00605908"/>
    <w:rsid w:val="00607609"/>
    <w:rsid w:val="00607850"/>
    <w:rsid w:val="00607EF7"/>
    <w:rsid w:val="00610D7C"/>
    <w:rsid w:val="0061200A"/>
    <w:rsid w:val="00613414"/>
    <w:rsid w:val="0061564F"/>
    <w:rsid w:val="00620154"/>
    <w:rsid w:val="00621CAE"/>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1B4"/>
    <w:rsid w:val="006557A7"/>
    <w:rsid w:val="00656290"/>
    <w:rsid w:val="006601C9"/>
    <w:rsid w:val="006608D8"/>
    <w:rsid w:val="006621D7"/>
    <w:rsid w:val="0066302A"/>
    <w:rsid w:val="00664CC1"/>
    <w:rsid w:val="00667770"/>
    <w:rsid w:val="00670597"/>
    <w:rsid w:val="006706D0"/>
    <w:rsid w:val="00677574"/>
    <w:rsid w:val="006812ED"/>
    <w:rsid w:val="00683878"/>
    <w:rsid w:val="00684380"/>
    <w:rsid w:val="0068454C"/>
    <w:rsid w:val="00684A9F"/>
    <w:rsid w:val="00691B62"/>
    <w:rsid w:val="006933B5"/>
    <w:rsid w:val="00693D14"/>
    <w:rsid w:val="00696F27"/>
    <w:rsid w:val="006A18C2"/>
    <w:rsid w:val="006A3383"/>
    <w:rsid w:val="006B077C"/>
    <w:rsid w:val="006B6803"/>
    <w:rsid w:val="006C34E5"/>
    <w:rsid w:val="006D0F16"/>
    <w:rsid w:val="006D2A3F"/>
    <w:rsid w:val="006D2FBC"/>
    <w:rsid w:val="006D6E34"/>
    <w:rsid w:val="006E138B"/>
    <w:rsid w:val="006E1867"/>
    <w:rsid w:val="006E65E4"/>
    <w:rsid w:val="006F0330"/>
    <w:rsid w:val="006F13DB"/>
    <w:rsid w:val="006F1FDC"/>
    <w:rsid w:val="006F2CF0"/>
    <w:rsid w:val="006F6B8C"/>
    <w:rsid w:val="007013EF"/>
    <w:rsid w:val="007055BD"/>
    <w:rsid w:val="007173CA"/>
    <w:rsid w:val="00717ED8"/>
    <w:rsid w:val="007216AA"/>
    <w:rsid w:val="00721AB5"/>
    <w:rsid w:val="00721CFB"/>
    <w:rsid w:val="00721DEF"/>
    <w:rsid w:val="00722D5B"/>
    <w:rsid w:val="00722F2B"/>
    <w:rsid w:val="00724A43"/>
    <w:rsid w:val="007273AC"/>
    <w:rsid w:val="00731AD4"/>
    <w:rsid w:val="007346E4"/>
    <w:rsid w:val="00735564"/>
    <w:rsid w:val="00740F22"/>
    <w:rsid w:val="00741CF0"/>
    <w:rsid w:val="00741F1A"/>
    <w:rsid w:val="007447DA"/>
    <w:rsid w:val="007450F8"/>
    <w:rsid w:val="0074696E"/>
    <w:rsid w:val="00750135"/>
    <w:rsid w:val="00750EC2"/>
    <w:rsid w:val="0075227D"/>
    <w:rsid w:val="00752B28"/>
    <w:rsid w:val="007536BC"/>
    <w:rsid w:val="00753FE7"/>
    <w:rsid w:val="007541A9"/>
    <w:rsid w:val="00754E36"/>
    <w:rsid w:val="00756027"/>
    <w:rsid w:val="00756EAC"/>
    <w:rsid w:val="00763139"/>
    <w:rsid w:val="00764368"/>
    <w:rsid w:val="00770F37"/>
    <w:rsid w:val="007711A0"/>
    <w:rsid w:val="00772D5E"/>
    <w:rsid w:val="0077463E"/>
    <w:rsid w:val="0077665E"/>
    <w:rsid w:val="00776928"/>
    <w:rsid w:val="00776D56"/>
    <w:rsid w:val="00776E0F"/>
    <w:rsid w:val="007774B1"/>
    <w:rsid w:val="00777BE1"/>
    <w:rsid w:val="00780820"/>
    <w:rsid w:val="00782222"/>
    <w:rsid w:val="007833D8"/>
    <w:rsid w:val="00785677"/>
    <w:rsid w:val="00786F16"/>
    <w:rsid w:val="00791BD7"/>
    <w:rsid w:val="007933F7"/>
    <w:rsid w:val="00796E20"/>
    <w:rsid w:val="00796F9B"/>
    <w:rsid w:val="00797C32"/>
    <w:rsid w:val="007A0642"/>
    <w:rsid w:val="007A11E8"/>
    <w:rsid w:val="007B0914"/>
    <w:rsid w:val="007B1374"/>
    <w:rsid w:val="007B32E5"/>
    <w:rsid w:val="007B3DB9"/>
    <w:rsid w:val="007B589F"/>
    <w:rsid w:val="007B6186"/>
    <w:rsid w:val="007B73BC"/>
    <w:rsid w:val="007C1049"/>
    <w:rsid w:val="007C1838"/>
    <w:rsid w:val="007C20B9"/>
    <w:rsid w:val="007C6BF6"/>
    <w:rsid w:val="007C7301"/>
    <w:rsid w:val="007C7859"/>
    <w:rsid w:val="007C7F28"/>
    <w:rsid w:val="007D1466"/>
    <w:rsid w:val="007D23FF"/>
    <w:rsid w:val="007D2BDE"/>
    <w:rsid w:val="007D2FB6"/>
    <w:rsid w:val="007D49EB"/>
    <w:rsid w:val="007D5E1C"/>
    <w:rsid w:val="007E0DE2"/>
    <w:rsid w:val="007E3667"/>
    <w:rsid w:val="007E3B98"/>
    <w:rsid w:val="007E417A"/>
    <w:rsid w:val="007F31B6"/>
    <w:rsid w:val="007F546C"/>
    <w:rsid w:val="007F625F"/>
    <w:rsid w:val="007F665E"/>
    <w:rsid w:val="00800412"/>
    <w:rsid w:val="00801561"/>
    <w:rsid w:val="0080587B"/>
    <w:rsid w:val="008061FD"/>
    <w:rsid w:val="00806468"/>
    <w:rsid w:val="008119CA"/>
    <w:rsid w:val="008130C4"/>
    <w:rsid w:val="008155F0"/>
    <w:rsid w:val="00816735"/>
    <w:rsid w:val="00820141"/>
    <w:rsid w:val="00820E0C"/>
    <w:rsid w:val="00823275"/>
    <w:rsid w:val="0082366F"/>
    <w:rsid w:val="00824696"/>
    <w:rsid w:val="008338A2"/>
    <w:rsid w:val="0083423B"/>
    <w:rsid w:val="00841AA9"/>
    <w:rsid w:val="008474FE"/>
    <w:rsid w:val="00853EE4"/>
    <w:rsid w:val="00855535"/>
    <w:rsid w:val="00856F51"/>
    <w:rsid w:val="00857C5A"/>
    <w:rsid w:val="0086255E"/>
    <w:rsid w:val="008633F0"/>
    <w:rsid w:val="00867D9D"/>
    <w:rsid w:val="00872E0A"/>
    <w:rsid w:val="00873594"/>
    <w:rsid w:val="00875285"/>
    <w:rsid w:val="00882E6D"/>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1F9A"/>
    <w:rsid w:val="008E33C6"/>
    <w:rsid w:val="008E4376"/>
    <w:rsid w:val="008E7A0A"/>
    <w:rsid w:val="008E7B49"/>
    <w:rsid w:val="008F59F6"/>
    <w:rsid w:val="00900719"/>
    <w:rsid w:val="009017AC"/>
    <w:rsid w:val="00902A9A"/>
    <w:rsid w:val="00903770"/>
    <w:rsid w:val="00904A1C"/>
    <w:rsid w:val="00905030"/>
    <w:rsid w:val="00906490"/>
    <w:rsid w:val="009111B2"/>
    <w:rsid w:val="009151F5"/>
    <w:rsid w:val="00924AE1"/>
    <w:rsid w:val="009269B1"/>
    <w:rsid w:val="0092724D"/>
    <w:rsid w:val="009272B3"/>
    <w:rsid w:val="009315BE"/>
    <w:rsid w:val="00931F10"/>
    <w:rsid w:val="009326DD"/>
    <w:rsid w:val="0093338F"/>
    <w:rsid w:val="009376ED"/>
    <w:rsid w:val="00937BD9"/>
    <w:rsid w:val="009403A0"/>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48B2"/>
    <w:rsid w:val="009853E1"/>
    <w:rsid w:val="00986E6B"/>
    <w:rsid w:val="00990032"/>
    <w:rsid w:val="00990B19"/>
    <w:rsid w:val="0099153B"/>
    <w:rsid w:val="00991769"/>
    <w:rsid w:val="0099232C"/>
    <w:rsid w:val="00993CE3"/>
    <w:rsid w:val="00994386"/>
    <w:rsid w:val="00997039"/>
    <w:rsid w:val="009A13D8"/>
    <w:rsid w:val="009A279E"/>
    <w:rsid w:val="009A3015"/>
    <w:rsid w:val="009A3490"/>
    <w:rsid w:val="009B0A6F"/>
    <w:rsid w:val="009B0A94"/>
    <w:rsid w:val="009B0C62"/>
    <w:rsid w:val="009B2AE8"/>
    <w:rsid w:val="009B5622"/>
    <w:rsid w:val="009B59E9"/>
    <w:rsid w:val="009B70AA"/>
    <w:rsid w:val="009C159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01D8"/>
    <w:rsid w:val="00A22229"/>
    <w:rsid w:val="00A24442"/>
    <w:rsid w:val="00A24ADA"/>
    <w:rsid w:val="00A32577"/>
    <w:rsid w:val="00A330BB"/>
    <w:rsid w:val="00A446F5"/>
    <w:rsid w:val="00A44882"/>
    <w:rsid w:val="00A45125"/>
    <w:rsid w:val="00A54715"/>
    <w:rsid w:val="00A60200"/>
    <w:rsid w:val="00A6061C"/>
    <w:rsid w:val="00A62D43"/>
    <w:rsid w:val="00A62D44"/>
    <w:rsid w:val="00A67263"/>
    <w:rsid w:val="00A7161C"/>
    <w:rsid w:val="00A71CE4"/>
    <w:rsid w:val="00A77AA3"/>
    <w:rsid w:val="00A77B28"/>
    <w:rsid w:val="00A8236D"/>
    <w:rsid w:val="00A854EB"/>
    <w:rsid w:val="00A872E5"/>
    <w:rsid w:val="00A91406"/>
    <w:rsid w:val="00A92F16"/>
    <w:rsid w:val="00A96E65"/>
    <w:rsid w:val="00A96ECE"/>
    <w:rsid w:val="00A97C72"/>
    <w:rsid w:val="00AA2841"/>
    <w:rsid w:val="00AA310B"/>
    <w:rsid w:val="00AA63D4"/>
    <w:rsid w:val="00AB06E8"/>
    <w:rsid w:val="00AB1CD3"/>
    <w:rsid w:val="00AB352F"/>
    <w:rsid w:val="00AC274B"/>
    <w:rsid w:val="00AC4764"/>
    <w:rsid w:val="00AC6D36"/>
    <w:rsid w:val="00AD077B"/>
    <w:rsid w:val="00AD0CBA"/>
    <w:rsid w:val="00AD26E2"/>
    <w:rsid w:val="00AD5216"/>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1AE8"/>
    <w:rsid w:val="00B13851"/>
    <w:rsid w:val="00B13B1C"/>
    <w:rsid w:val="00B14B5F"/>
    <w:rsid w:val="00B21F90"/>
    <w:rsid w:val="00B2214E"/>
    <w:rsid w:val="00B22291"/>
    <w:rsid w:val="00B23F9A"/>
    <w:rsid w:val="00B2417B"/>
    <w:rsid w:val="00B24E6F"/>
    <w:rsid w:val="00B26CB5"/>
    <w:rsid w:val="00B2752E"/>
    <w:rsid w:val="00B307CC"/>
    <w:rsid w:val="00B326B7"/>
    <w:rsid w:val="00B3588E"/>
    <w:rsid w:val="00B4198F"/>
    <w:rsid w:val="00B41F3D"/>
    <w:rsid w:val="00B431E8"/>
    <w:rsid w:val="00B43B56"/>
    <w:rsid w:val="00B45141"/>
    <w:rsid w:val="00B50188"/>
    <w:rsid w:val="00B519CD"/>
    <w:rsid w:val="00B5273A"/>
    <w:rsid w:val="00B57329"/>
    <w:rsid w:val="00B60E61"/>
    <w:rsid w:val="00B62B50"/>
    <w:rsid w:val="00B635B7"/>
    <w:rsid w:val="00B63AE8"/>
    <w:rsid w:val="00B65950"/>
    <w:rsid w:val="00B66D83"/>
    <w:rsid w:val="00B672C0"/>
    <w:rsid w:val="00B676FD"/>
    <w:rsid w:val="00B678B6"/>
    <w:rsid w:val="00B72E24"/>
    <w:rsid w:val="00B75646"/>
    <w:rsid w:val="00B7629E"/>
    <w:rsid w:val="00B82999"/>
    <w:rsid w:val="00B90729"/>
    <w:rsid w:val="00B907DA"/>
    <w:rsid w:val="00B94C5E"/>
    <w:rsid w:val="00B950BC"/>
    <w:rsid w:val="00B9714C"/>
    <w:rsid w:val="00B97923"/>
    <w:rsid w:val="00BA09A0"/>
    <w:rsid w:val="00BA29AD"/>
    <w:rsid w:val="00BA3197"/>
    <w:rsid w:val="00BA33CF"/>
    <w:rsid w:val="00BA3F8D"/>
    <w:rsid w:val="00BB7A10"/>
    <w:rsid w:val="00BC60BE"/>
    <w:rsid w:val="00BC7468"/>
    <w:rsid w:val="00BC7D4F"/>
    <w:rsid w:val="00BC7ED7"/>
    <w:rsid w:val="00BD2850"/>
    <w:rsid w:val="00BE1A00"/>
    <w:rsid w:val="00BE28D2"/>
    <w:rsid w:val="00BE4A64"/>
    <w:rsid w:val="00BE5E43"/>
    <w:rsid w:val="00BE6B75"/>
    <w:rsid w:val="00BF4417"/>
    <w:rsid w:val="00BF557D"/>
    <w:rsid w:val="00BF6220"/>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59AE"/>
    <w:rsid w:val="00C26588"/>
    <w:rsid w:val="00C27DE9"/>
    <w:rsid w:val="00C32989"/>
    <w:rsid w:val="00C33388"/>
    <w:rsid w:val="00C35484"/>
    <w:rsid w:val="00C36E9E"/>
    <w:rsid w:val="00C4173A"/>
    <w:rsid w:val="00C42F9E"/>
    <w:rsid w:val="00C50DED"/>
    <w:rsid w:val="00C51605"/>
    <w:rsid w:val="00C52217"/>
    <w:rsid w:val="00C5695C"/>
    <w:rsid w:val="00C602FF"/>
    <w:rsid w:val="00C60411"/>
    <w:rsid w:val="00C61174"/>
    <w:rsid w:val="00C6148F"/>
    <w:rsid w:val="00C621B1"/>
    <w:rsid w:val="00C62F7A"/>
    <w:rsid w:val="00C63B9C"/>
    <w:rsid w:val="00C6682F"/>
    <w:rsid w:val="00C67BF4"/>
    <w:rsid w:val="00C7275E"/>
    <w:rsid w:val="00C731AF"/>
    <w:rsid w:val="00C74C5D"/>
    <w:rsid w:val="00C83E0B"/>
    <w:rsid w:val="00C863C4"/>
    <w:rsid w:val="00C90DAB"/>
    <w:rsid w:val="00C920EA"/>
    <w:rsid w:val="00C93C3E"/>
    <w:rsid w:val="00CA12E3"/>
    <w:rsid w:val="00CA1476"/>
    <w:rsid w:val="00CA6611"/>
    <w:rsid w:val="00CA6AE6"/>
    <w:rsid w:val="00CA782F"/>
    <w:rsid w:val="00CB187B"/>
    <w:rsid w:val="00CB2835"/>
    <w:rsid w:val="00CB3285"/>
    <w:rsid w:val="00CB4500"/>
    <w:rsid w:val="00CB7D21"/>
    <w:rsid w:val="00CC0C72"/>
    <w:rsid w:val="00CC2BFD"/>
    <w:rsid w:val="00CC6F40"/>
    <w:rsid w:val="00CD3476"/>
    <w:rsid w:val="00CD64DF"/>
    <w:rsid w:val="00CE225F"/>
    <w:rsid w:val="00CF2561"/>
    <w:rsid w:val="00CF2F50"/>
    <w:rsid w:val="00CF6198"/>
    <w:rsid w:val="00D02750"/>
    <w:rsid w:val="00D02919"/>
    <w:rsid w:val="00D04C61"/>
    <w:rsid w:val="00D05B8D"/>
    <w:rsid w:val="00D05B9B"/>
    <w:rsid w:val="00D065A2"/>
    <w:rsid w:val="00D079AA"/>
    <w:rsid w:val="00D07F00"/>
    <w:rsid w:val="00D1130F"/>
    <w:rsid w:val="00D17B72"/>
    <w:rsid w:val="00D27959"/>
    <w:rsid w:val="00D3185C"/>
    <w:rsid w:val="00D3205F"/>
    <w:rsid w:val="00D3318E"/>
    <w:rsid w:val="00D33E72"/>
    <w:rsid w:val="00D35BD6"/>
    <w:rsid w:val="00D361B5"/>
    <w:rsid w:val="00D411A2"/>
    <w:rsid w:val="00D4606D"/>
    <w:rsid w:val="00D46CC1"/>
    <w:rsid w:val="00D50B9C"/>
    <w:rsid w:val="00D513AF"/>
    <w:rsid w:val="00D52D73"/>
    <w:rsid w:val="00D52E58"/>
    <w:rsid w:val="00D56B20"/>
    <w:rsid w:val="00D578B3"/>
    <w:rsid w:val="00D618F4"/>
    <w:rsid w:val="00D62F54"/>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B7F89"/>
    <w:rsid w:val="00DC013B"/>
    <w:rsid w:val="00DC090B"/>
    <w:rsid w:val="00DC09EF"/>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744"/>
    <w:rsid w:val="00DE787D"/>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0AC4"/>
    <w:rsid w:val="00E54950"/>
    <w:rsid w:val="00E54C2D"/>
    <w:rsid w:val="00E55FB3"/>
    <w:rsid w:val="00E56A01"/>
    <w:rsid w:val="00E629A1"/>
    <w:rsid w:val="00E6794C"/>
    <w:rsid w:val="00E71591"/>
    <w:rsid w:val="00E71CEB"/>
    <w:rsid w:val="00E7474F"/>
    <w:rsid w:val="00E80DE3"/>
    <w:rsid w:val="00E82287"/>
    <w:rsid w:val="00E82C55"/>
    <w:rsid w:val="00E8787E"/>
    <w:rsid w:val="00E92AC3"/>
    <w:rsid w:val="00EA230D"/>
    <w:rsid w:val="00EA2F6A"/>
    <w:rsid w:val="00EB00E0"/>
    <w:rsid w:val="00EB05D5"/>
    <w:rsid w:val="00EB35D9"/>
    <w:rsid w:val="00EB4BC7"/>
    <w:rsid w:val="00EB78F0"/>
    <w:rsid w:val="00EC059F"/>
    <w:rsid w:val="00EC1F24"/>
    <w:rsid w:val="00EC22F6"/>
    <w:rsid w:val="00EC3DB9"/>
    <w:rsid w:val="00EC78F8"/>
    <w:rsid w:val="00ED2953"/>
    <w:rsid w:val="00ED5150"/>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25A7"/>
    <w:rsid w:val="00F16F1B"/>
    <w:rsid w:val="00F250A9"/>
    <w:rsid w:val="00F267AF"/>
    <w:rsid w:val="00F30FF4"/>
    <w:rsid w:val="00F3122E"/>
    <w:rsid w:val="00F32368"/>
    <w:rsid w:val="00F331AD"/>
    <w:rsid w:val="00F35287"/>
    <w:rsid w:val="00F37BD2"/>
    <w:rsid w:val="00F40A70"/>
    <w:rsid w:val="00F41E5C"/>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3FBF"/>
    <w:rsid w:val="00F741F2"/>
    <w:rsid w:val="00F76CAB"/>
    <w:rsid w:val="00F76F31"/>
    <w:rsid w:val="00F772C6"/>
    <w:rsid w:val="00F77346"/>
    <w:rsid w:val="00F815B5"/>
    <w:rsid w:val="00F821F8"/>
    <w:rsid w:val="00F84C63"/>
    <w:rsid w:val="00F85195"/>
    <w:rsid w:val="00F868E3"/>
    <w:rsid w:val="00F91AD8"/>
    <w:rsid w:val="00F938BA"/>
    <w:rsid w:val="00F97919"/>
    <w:rsid w:val="00FA095F"/>
    <w:rsid w:val="00FA15A5"/>
    <w:rsid w:val="00FA2C46"/>
    <w:rsid w:val="00FA3435"/>
    <w:rsid w:val="00FA3525"/>
    <w:rsid w:val="00FA5A53"/>
    <w:rsid w:val="00FB1F6E"/>
    <w:rsid w:val="00FB4769"/>
    <w:rsid w:val="00FB4CDA"/>
    <w:rsid w:val="00FB6481"/>
    <w:rsid w:val="00FB6D36"/>
    <w:rsid w:val="00FC0965"/>
    <w:rsid w:val="00FC0F81"/>
    <w:rsid w:val="00FC252F"/>
    <w:rsid w:val="00FC395C"/>
    <w:rsid w:val="00FC5E8E"/>
    <w:rsid w:val="00FD0C9C"/>
    <w:rsid w:val="00FD3766"/>
    <w:rsid w:val="00FD3D05"/>
    <w:rsid w:val="00FD47C4"/>
    <w:rsid w:val="00FE2DCF"/>
    <w:rsid w:val="00FE3FA7"/>
    <w:rsid w:val="00FE4081"/>
    <w:rsid w:val="00FF006A"/>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65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41007D"/>
    <w:pPr>
      <w:spacing w:after="120" w:line="280" w:lineRule="atLeast"/>
    </w:pPr>
    <w:rPr>
      <w:rFonts w:ascii="Arial" w:eastAsia="Times" w:hAnsi="Arial"/>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link w:val="FooterCha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4C1E48"/>
    <w:pPr>
      <w:numPr>
        <w:numId w:val="2"/>
      </w:numPr>
      <w:spacing w:after="40" w:line="240" w:lineRule="auto"/>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41007D"/>
    <w:rPr>
      <w:rFonts w:ascii="Arial" w:eastAsia="Times" w:hAnsi="Arial"/>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rPr>
  </w:style>
  <w:style w:type="paragraph" w:customStyle="1" w:styleId="DHHSbody">
    <w:name w:val="DHHS body"/>
    <w:link w:val="DHHSbodyChar"/>
    <w:qFormat/>
    <w:rsid w:val="00ED2953"/>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ED2953"/>
    <w:rPr>
      <w:rFonts w:ascii="Arial" w:eastAsia="Times" w:hAnsi="Arial"/>
      <w:lang w:eastAsia="en-US"/>
    </w:rPr>
  </w:style>
  <w:style w:type="character" w:customStyle="1" w:styleId="normaltextrun">
    <w:name w:val="normaltextrun"/>
    <w:basedOn w:val="DefaultParagraphFont"/>
    <w:rsid w:val="00780820"/>
  </w:style>
  <w:style w:type="character" w:customStyle="1" w:styleId="eop">
    <w:name w:val="eop"/>
    <w:basedOn w:val="DefaultParagraphFont"/>
    <w:rsid w:val="00780820"/>
  </w:style>
  <w:style w:type="paragraph" w:customStyle="1" w:styleId="DHHStablecaption">
    <w:name w:val="DHHS table caption"/>
    <w:next w:val="DHHSbody"/>
    <w:uiPriority w:val="3"/>
    <w:qFormat/>
    <w:rsid w:val="005D790A"/>
    <w:pPr>
      <w:keepNext/>
      <w:keepLines/>
      <w:spacing w:before="240" w:after="120" w:line="240" w:lineRule="atLeast"/>
    </w:pPr>
    <w:rPr>
      <w:rFonts w:ascii="Arial" w:hAnsi="Arial"/>
      <w:b/>
      <w:lang w:eastAsia="en-US"/>
    </w:rPr>
  </w:style>
  <w:style w:type="paragraph" w:customStyle="1" w:styleId="DHHStabletext">
    <w:name w:val="DHHS table text"/>
    <w:uiPriority w:val="3"/>
    <w:qFormat/>
    <w:rsid w:val="002C0D1E"/>
    <w:pPr>
      <w:spacing w:before="80" w:after="60"/>
    </w:pPr>
    <w:rPr>
      <w:rFonts w:ascii="Arial" w:hAnsi="Arial"/>
      <w:lang w:eastAsia="en-US"/>
    </w:rPr>
  </w:style>
  <w:style w:type="paragraph" w:customStyle="1" w:styleId="DHHStablecolhead">
    <w:name w:val="DHHS table col head"/>
    <w:uiPriority w:val="3"/>
    <w:qFormat/>
    <w:rsid w:val="005325AE"/>
    <w:pPr>
      <w:spacing w:before="40" w:after="60"/>
    </w:pPr>
    <w:rPr>
      <w:rFonts w:ascii="Arial" w:hAnsi="Arial"/>
      <w:b/>
      <w:color w:val="000000" w:themeColor="text1"/>
    </w:rPr>
  </w:style>
  <w:style w:type="paragraph" w:styleId="NormalWeb">
    <w:name w:val="Normal (Web)"/>
    <w:basedOn w:val="Normal"/>
    <w:uiPriority w:val="99"/>
    <w:unhideWhenUsed/>
    <w:rsid w:val="00CB7D21"/>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03286C"/>
    <w:pPr>
      <w:autoSpaceDE w:val="0"/>
      <w:autoSpaceDN w:val="0"/>
      <w:adjustRightInd w:val="0"/>
    </w:pPr>
    <w:rPr>
      <w:rFonts w:ascii="Arial" w:hAnsi="Arial" w:cs="Arial"/>
      <w:color w:val="000000"/>
      <w:sz w:val="24"/>
      <w:szCs w:val="24"/>
    </w:rPr>
  </w:style>
  <w:style w:type="paragraph" w:customStyle="1" w:styleId="paragraph">
    <w:name w:val="paragraph"/>
    <w:basedOn w:val="Normal"/>
    <w:rsid w:val="00C51605"/>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aliases w:val="Bulleted list,Key Findings,List Level 1,Bullet,Dot pt,F5 List Paragraph,List Paragraph Char Char Char,Indicator Text,Numbered Para 1,Bullet Points,List Paragraph2,MAIN CONTENT,Normal numbered,List Paragraph1,Colorful List - Accent 11,3,L"/>
    <w:basedOn w:val="Normal"/>
    <w:link w:val="ListParagraphChar"/>
    <w:uiPriority w:val="34"/>
    <w:qFormat/>
    <w:rsid w:val="00C51605"/>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ed list Char,Key Findings Char,List Level 1 Char,Bullet Char,Dot pt Char,F5 List Paragraph Char,List Paragraph Char Char Char Char,Indicator Text Char,Numbered Para 1 Char,Bullet Points Char,List Paragraph2 Char,3 Char,L Char"/>
    <w:link w:val="ListParagraph"/>
    <w:uiPriority w:val="34"/>
    <w:qFormat/>
    <w:locked/>
    <w:rsid w:val="00C51605"/>
    <w:rPr>
      <w:rFonts w:asciiTheme="minorHAnsi" w:eastAsiaTheme="minorHAnsi" w:hAnsiTheme="minorHAnsi" w:cstheme="minorBidi"/>
      <w:sz w:val="22"/>
      <w:szCs w:val="22"/>
      <w:lang w:eastAsia="en-US"/>
    </w:rPr>
  </w:style>
  <w:style w:type="paragraph" w:customStyle="1" w:styleId="DHHSbullet1">
    <w:name w:val="DHHS bullet 1"/>
    <w:basedOn w:val="DHHSbody"/>
    <w:qFormat/>
    <w:rsid w:val="00664CC1"/>
    <w:pPr>
      <w:spacing w:after="40"/>
      <w:ind w:left="1078" w:hanging="360"/>
    </w:pPr>
  </w:style>
  <w:style w:type="paragraph" w:customStyle="1" w:styleId="DHHSbullet2">
    <w:name w:val="DHHS bullet 2"/>
    <w:basedOn w:val="DHHSbody"/>
    <w:uiPriority w:val="2"/>
    <w:qFormat/>
    <w:rsid w:val="00664CC1"/>
    <w:pPr>
      <w:spacing w:after="40"/>
      <w:ind w:left="1798" w:hanging="360"/>
    </w:pPr>
  </w:style>
  <w:style w:type="paragraph" w:customStyle="1" w:styleId="DHHStabletext6pt">
    <w:name w:val="DHHS table text + 6pt"/>
    <w:basedOn w:val="DHHStabletext"/>
    <w:rsid w:val="00931F10"/>
    <w:pPr>
      <w:spacing w:after="120"/>
    </w:pPr>
  </w:style>
  <w:style w:type="paragraph" w:customStyle="1" w:styleId="DHHSbodynospace">
    <w:name w:val="DHHS body no space"/>
    <w:basedOn w:val="DHHSbody"/>
    <w:uiPriority w:val="1"/>
    <w:rsid w:val="00931F10"/>
    <w:pPr>
      <w:spacing w:after="0"/>
    </w:pPr>
  </w:style>
  <w:style w:type="paragraph" w:customStyle="1" w:styleId="DHHSTOCheadingfactsheet">
    <w:name w:val="DHHS TOC heading fact sheet"/>
    <w:basedOn w:val="Heading2"/>
    <w:next w:val="DHHSbody"/>
    <w:link w:val="DHHSTOCheadingfactsheetChar"/>
    <w:uiPriority w:val="4"/>
    <w:rsid w:val="00931F10"/>
    <w:pPr>
      <w:spacing w:before="0" w:after="200" w:line="320" w:lineRule="atLeast"/>
      <w:outlineLvl w:val="9"/>
    </w:pPr>
    <w:rPr>
      <w:color w:val="007B4B"/>
      <w:sz w:val="28"/>
    </w:rPr>
  </w:style>
  <w:style w:type="character" w:customStyle="1" w:styleId="DHHSTOCheadingfactsheetChar">
    <w:name w:val="DHHS TOC heading fact sheet Char"/>
    <w:link w:val="DHHSTOCheadingfactsheet"/>
    <w:uiPriority w:val="4"/>
    <w:rsid w:val="00931F10"/>
    <w:rPr>
      <w:rFonts w:ascii="Arial" w:hAnsi="Arial"/>
      <w:b/>
      <w:color w:val="007B4B"/>
      <w:sz w:val="28"/>
      <w:szCs w:val="28"/>
      <w:lang w:eastAsia="en-US"/>
    </w:rPr>
  </w:style>
  <w:style w:type="paragraph" w:customStyle="1" w:styleId="DHHSmainheading">
    <w:name w:val="DHHS main heading"/>
    <w:uiPriority w:val="8"/>
    <w:rsid w:val="00931F10"/>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931F10"/>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931F10"/>
    <w:pPr>
      <w:keepNext/>
      <w:keepLines/>
      <w:spacing w:before="240" w:after="120"/>
    </w:pPr>
    <w:rPr>
      <w:rFonts w:ascii="Arial" w:hAnsi="Arial"/>
      <w:b/>
      <w:lang w:eastAsia="en-US"/>
    </w:rPr>
  </w:style>
  <w:style w:type="paragraph" w:customStyle="1" w:styleId="DHHSbodyafterbullets">
    <w:name w:val="DHHS body after bullets"/>
    <w:basedOn w:val="DHHSbody"/>
    <w:uiPriority w:val="11"/>
    <w:rsid w:val="00931F10"/>
    <w:pPr>
      <w:spacing w:before="120"/>
    </w:pPr>
  </w:style>
  <w:style w:type="paragraph" w:customStyle="1" w:styleId="DHHStablebullet2">
    <w:name w:val="DHHS table bullet 2"/>
    <w:basedOn w:val="DHHStabletext"/>
    <w:uiPriority w:val="11"/>
    <w:rsid w:val="00931F10"/>
    <w:pPr>
      <w:tabs>
        <w:tab w:val="num" w:pos="227"/>
      </w:tabs>
      <w:ind w:left="454" w:hanging="227"/>
    </w:pPr>
  </w:style>
  <w:style w:type="paragraph" w:customStyle="1" w:styleId="DHHStablebullet1">
    <w:name w:val="DHHS table bullet 1"/>
    <w:basedOn w:val="DHHStabletext"/>
    <w:uiPriority w:val="3"/>
    <w:qFormat/>
    <w:rsid w:val="00931F10"/>
    <w:pPr>
      <w:ind w:left="227" w:hanging="227"/>
    </w:pPr>
  </w:style>
  <w:style w:type="paragraph" w:customStyle="1" w:styleId="DHHSbulletafternumbers1">
    <w:name w:val="DHHS bullet after numbers 1"/>
    <w:basedOn w:val="DHHSbody"/>
    <w:uiPriority w:val="4"/>
    <w:rsid w:val="00931F10"/>
    <w:pPr>
      <w:ind w:left="794" w:hanging="397"/>
    </w:pPr>
  </w:style>
  <w:style w:type="paragraph" w:customStyle="1" w:styleId="DHHSmainsubheading">
    <w:name w:val="DHHS main subheading"/>
    <w:uiPriority w:val="8"/>
    <w:rsid w:val="00931F10"/>
    <w:pPr>
      <w:spacing w:after="120"/>
    </w:pPr>
    <w:rPr>
      <w:rFonts w:ascii="Arial" w:hAnsi="Arial"/>
      <w:color w:val="FFFFFF"/>
      <w:sz w:val="28"/>
      <w:szCs w:val="28"/>
      <w:lang w:eastAsia="en-US"/>
    </w:rPr>
  </w:style>
  <w:style w:type="paragraph" w:customStyle="1" w:styleId="DHHSnumberdigit">
    <w:name w:val="DHHS number digit"/>
    <w:basedOn w:val="DHHSbody"/>
    <w:uiPriority w:val="2"/>
    <w:rsid w:val="00931F10"/>
    <w:pPr>
      <w:ind w:left="720" w:hanging="360"/>
    </w:pPr>
  </w:style>
  <w:style w:type="paragraph" w:customStyle="1" w:styleId="DHHSnumberloweralphaindent">
    <w:name w:val="DHHS number lower alpha indent"/>
    <w:basedOn w:val="DHHSbody"/>
    <w:uiPriority w:val="3"/>
    <w:rsid w:val="00931F10"/>
    <w:pPr>
      <w:tabs>
        <w:tab w:val="num" w:pos="794"/>
      </w:tabs>
      <w:ind w:left="794" w:hanging="397"/>
    </w:pPr>
  </w:style>
  <w:style w:type="paragraph" w:customStyle="1" w:styleId="DHHSnumberdigitindent">
    <w:name w:val="DHHS number digit indent"/>
    <w:basedOn w:val="DHHSnumberloweralphaindent"/>
    <w:uiPriority w:val="3"/>
    <w:rsid w:val="00931F10"/>
    <w:pPr>
      <w:tabs>
        <w:tab w:val="clear" w:pos="794"/>
      </w:tabs>
      <w:ind w:left="720" w:hanging="360"/>
    </w:pPr>
  </w:style>
  <w:style w:type="paragraph" w:customStyle="1" w:styleId="DHHSnumberloweralpha">
    <w:name w:val="DHHS number lower alpha"/>
    <w:basedOn w:val="DHHSbody"/>
    <w:uiPriority w:val="3"/>
    <w:rsid w:val="00931F10"/>
    <w:pPr>
      <w:tabs>
        <w:tab w:val="num" w:pos="397"/>
      </w:tabs>
      <w:ind w:left="397" w:hanging="397"/>
    </w:pPr>
  </w:style>
  <w:style w:type="paragraph" w:customStyle="1" w:styleId="DHHSnumberlowerroman">
    <w:name w:val="DHHS number lower roman"/>
    <w:basedOn w:val="DHHSbody"/>
    <w:uiPriority w:val="3"/>
    <w:rsid w:val="00931F10"/>
    <w:pPr>
      <w:ind w:left="284" w:hanging="284"/>
    </w:pPr>
  </w:style>
  <w:style w:type="paragraph" w:customStyle="1" w:styleId="DHHSnumberlowerromanindent">
    <w:name w:val="DHHS number lower roman indent"/>
    <w:basedOn w:val="DHHSbody"/>
    <w:uiPriority w:val="3"/>
    <w:rsid w:val="00931F10"/>
    <w:pPr>
      <w:ind w:left="567" w:hanging="283"/>
    </w:pPr>
  </w:style>
  <w:style w:type="paragraph" w:customStyle="1" w:styleId="DHHSquote">
    <w:name w:val="DHHS quote"/>
    <w:basedOn w:val="DHHSbody"/>
    <w:uiPriority w:val="4"/>
    <w:rsid w:val="00931F10"/>
    <w:pPr>
      <w:ind w:left="397"/>
    </w:pPr>
    <w:rPr>
      <w:szCs w:val="18"/>
    </w:rPr>
  </w:style>
  <w:style w:type="paragraph" w:customStyle="1" w:styleId="DHHStablefigurenote">
    <w:name w:val="DHHS table/figure note"/>
    <w:uiPriority w:val="4"/>
    <w:rsid w:val="00931F10"/>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31F10"/>
    <w:pPr>
      <w:spacing w:before="240"/>
    </w:pPr>
  </w:style>
  <w:style w:type="paragraph" w:customStyle="1" w:styleId="DHHSfooter">
    <w:name w:val="DHHS footer"/>
    <w:uiPriority w:val="11"/>
    <w:rsid w:val="00931F10"/>
    <w:pPr>
      <w:tabs>
        <w:tab w:val="right" w:pos="10206"/>
      </w:tabs>
      <w:spacing w:before="300"/>
    </w:pPr>
    <w:rPr>
      <w:rFonts w:ascii="Arial" w:hAnsi="Arial" w:cs="Arial"/>
      <w:sz w:val="18"/>
      <w:szCs w:val="18"/>
      <w:lang w:eastAsia="en-US"/>
    </w:rPr>
  </w:style>
  <w:style w:type="paragraph" w:customStyle="1" w:styleId="DHHSheader">
    <w:name w:val="DHHS header"/>
    <w:uiPriority w:val="11"/>
    <w:rsid w:val="00931F10"/>
    <w:pPr>
      <w:spacing w:after="300"/>
    </w:pPr>
    <w:rPr>
      <w:rFonts w:ascii="Arial" w:hAnsi="Arial" w:cs="Arial"/>
      <w:sz w:val="18"/>
      <w:szCs w:val="18"/>
      <w:lang w:eastAsia="en-US"/>
    </w:rPr>
  </w:style>
  <w:style w:type="paragraph" w:customStyle="1" w:styleId="DHHSbulletafternumbers2">
    <w:name w:val="DHHS bullet after numbers 2"/>
    <w:basedOn w:val="DHHSbody"/>
    <w:rsid w:val="00931F10"/>
    <w:pPr>
      <w:ind w:left="2880" w:hanging="360"/>
    </w:pPr>
  </w:style>
  <w:style w:type="paragraph" w:customStyle="1" w:styleId="DHHSquotebullet1">
    <w:name w:val="DHHS quote bullet 1"/>
    <w:basedOn w:val="DHHSquote"/>
    <w:rsid w:val="00931F10"/>
    <w:pPr>
      <w:ind w:left="284" w:hanging="284"/>
    </w:pPr>
  </w:style>
  <w:style w:type="paragraph" w:customStyle="1" w:styleId="DHHSquotebullet2">
    <w:name w:val="DHHS quote bullet 2"/>
    <w:basedOn w:val="DHHSquote"/>
    <w:rsid w:val="00931F10"/>
    <w:pPr>
      <w:ind w:left="284" w:hanging="284"/>
    </w:pPr>
  </w:style>
  <w:style w:type="table" w:customStyle="1" w:styleId="TableGrid1">
    <w:name w:val="Table Grid1"/>
    <w:basedOn w:val="TableNormal"/>
    <w:next w:val="TableGrid"/>
    <w:uiPriority w:val="59"/>
    <w:rsid w:val="00931F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931F10"/>
    <w:rPr>
      <w:color w:val="605E5C"/>
      <w:shd w:val="clear" w:color="auto" w:fill="E1DFDD"/>
    </w:rPr>
  </w:style>
  <w:style w:type="character" w:customStyle="1" w:styleId="Mention1">
    <w:name w:val="Mention1"/>
    <w:basedOn w:val="DefaultParagraphFont"/>
    <w:uiPriority w:val="99"/>
    <w:unhideWhenUsed/>
    <w:rsid w:val="00931F10"/>
    <w:rPr>
      <w:color w:val="2B579A"/>
      <w:shd w:val="clear" w:color="auto" w:fill="E1DFDD"/>
    </w:rPr>
  </w:style>
  <w:style w:type="paragraph" w:styleId="TOCHeading">
    <w:name w:val="TOC Heading"/>
    <w:basedOn w:val="Heading1"/>
    <w:next w:val="Normal"/>
    <w:uiPriority w:val="39"/>
    <w:unhideWhenUsed/>
    <w:qFormat/>
    <w:rsid w:val="00931F10"/>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table" w:customStyle="1" w:styleId="PlainTable21">
    <w:name w:val="Plain Table 21"/>
    <w:basedOn w:val="TableNormal"/>
    <w:uiPriority w:val="42"/>
    <w:rsid w:val="00931F1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Number">
    <w:name w:val="List Number"/>
    <w:basedOn w:val="Normal"/>
    <w:rsid w:val="00931F10"/>
    <w:pPr>
      <w:tabs>
        <w:tab w:val="num" w:pos="360"/>
      </w:tabs>
      <w:spacing w:before="240" w:after="0" w:line="240" w:lineRule="auto"/>
    </w:pPr>
    <w:rPr>
      <w:sz w:val="26"/>
      <w:szCs w:val="24"/>
    </w:rPr>
  </w:style>
  <w:style w:type="character" w:customStyle="1" w:styleId="spellingerror">
    <w:name w:val="spellingerror"/>
    <w:basedOn w:val="DefaultParagraphFont"/>
    <w:rsid w:val="00931F10"/>
  </w:style>
  <w:style w:type="character" w:customStyle="1" w:styleId="contextualspellingandgrammarerror">
    <w:name w:val="contextualspellingandgrammarerror"/>
    <w:basedOn w:val="DefaultParagraphFont"/>
    <w:rsid w:val="00931F10"/>
  </w:style>
  <w:style w:type="character" w:customStyle="1" w:styleId="FooterChar">
    <w:name w:val="Footer Char"/>
    <w:basedOn w:val="DefaultParagraphFont"/>
    <w:link w:val="Footer"/>
    <w:uiPriority w:val="8"/>
    <w:rsid w:val="00931F10"/>
    <w:rPr>
      <w:rFonts w:ascii="Arial" w:hAnsi="Arial" w:cs="Arial"/>
      <w:szCs w:val="18"/>
      <w:lang w:eastAsia="en-US"/>
    </w:rPr>
  </w:style>
  <w:style w:type="paragraph" w:styleId="Caption">
    <w:name w:val="caption"/>
    <w:basedOn w:val="Normal"/>
    <w:next w:val="Normal"/>
    <w:uiPriority w:val="35"/>
    <w:unhideWhenUsed/>
    <w:qFormat/>
    <w:rsid w:val="00931F10"/>
    <w:pPr>
      <w:spacing w:after="200" w:line="240" w:lineRule="auto"/>
    </w:pPr>
    <w:rPr>
      <w:rFonts w:ascii="Cambria" w:hAnsi="Cambria"/>
      <w:i/>
      <w:iCs/>
      <w:color w:val="1F497D" w:themeColor="text2"/>
      <w:sz w:val="18"/>
      <w:szCs w:val="18"/>
    </w:rPr>
  </w:style>
  <w:style w:type="table" w:customStyle="1" w:styleId="GridTable3-Accent31">
    <w:name w:val="Grid Table 3 - Accent 31"/>
    <w:basedOn w:val="TableNormal"/>
    <w:uiPriority w:val="48"/>
    <w:rsid w:val="00931F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PlainTable22">
    <w:name w:val="Plain Table 22"/>
    <w:basedOn w:val="TableNormal"/>
    <w:uiPriority w:val="42"/>
    <w:rsid w:val="00931F1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msolistparagraph">
    <w:name w:val="x_msolistparagraph"/>
    <w:basedOn w:val="Normal"/>
    <w:rsid w:val="00931F10"/>
    <w:pPr>
      <w:spacing w:after="0" w:line="240" w:lineRule="auto"/>
    </w:pPr>
    <w:rPr>
      <w:rFonts w:ascii="Calibri" w:eastAsiaTheme="minorHAnsi" w:hAnsi="Calibri" w:cs="Calibri"/>
      <w:sz w:val="22"/>
      <w:szCs w:val="22"/>
      <w:lang w:eastAsia="en-AU"/>
    </w:rPr>
  </w:style>
  <w:style w:type="character" w:customStyle="1" w:styleId="normaltextrun1">
    <w:name w:val="normaltextrun1"/>
    <w:basedOn w:val="DefaultParagraphFont"/>
    <w:rsid w:val="00931F10"/>
  </w:style>
  <w:style w:type="table" w:customStyle="1" w:styleId="PlainTable51">
    <w:name w:val="Plain Table 51"/>
    <w:basedOn w:val="TableNormal"/>
    <w:uiPriority w:val="45"/>
    <w:rsid w:val="00931F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ccordion-navigation3">
    <w:name w:val="accordion-navigation3"/>
    <w:basedOn w:val="Normal"/>
    <w:rsid w:val="00931F10"/>
    <w:pPr>
      <w:spacing w:after="0" w:line="240" w:lineRule="auto"/>
    </w:pPr>
    <w:rPr>
      <w:rFonts w:ascii="Times New Roman" w:hAnsi="Times New Roman"/>
      <w:sz w:val="24"/>
      <w:szCs w:val="24"/>
      <w:lang w:eastAsia="en-AU"/>
    </w:rPr>
  </w:style>
  <w:style w:type="table" w:customStyle="1" w:styleId="TableGrid2">
    <w:name w:val="Table Grid2"/>
    <w:basedOn w:val="TableNormal"/>
    <w:next w:val="TableGrid"/>
    <w:uiPriority w:val="39"/>
    <w:rsid w:val="00931F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1F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31F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bullet">
    <w:name w:val="DHHS table bullet"/>
    <w:basedOn w:val="Normal"/>
    <w:uiPriority w:val="3"/>
    <w:qFormat/>
    <w:rsid w:val="002C2F47"/>
    <w:pPr>
      <w:numPr>
        <w:numId w:val="21"/>
      </w:numPr>
      <w:spacing w:before="80" w:after="60" w:line="240" w:lineRule="auto"/>
    </w:pPr>
    <w:rPr>
      <w:sz w:val="20"/>
    </w:rPr>
  </w:style>
  <w:style w:type="paragraph" w:customStyle="1" w:styleId="DHHSbulletindent">
    <w:name w:val="DHHS bullet indent"/>
    <w:basedOn w:val="Normal"/>
    <w:uiPriority w:val="4"/>
    <w:rsid w:val="00931F10"/>
    <w:pPr>
      <w:spacing w:after="40" w:line="270" w:lineRule="atLeast"/>
      <w:ind w:left="680" w:hanging="283"/>
    </w:pPr>
    <w:rPr>
      <w:rFonts w:eastAsia="Times"/>
      <w:sz w:val="20"/>
    </w:rPr>
  </w:style>
  <w:style w:type="paragraph" w:customStyle="1" w:styleId="DHHSbullet2lastline">
    <w:name w:val="DHHS bullet 2 last line"/>
    <w:basedOn w:val="DHHSbullet2"/>
    <w:uiPriority w:val="2"/>
    <w:qFormat/>
    <w:rsid w:val="00931F10"/>
    <w:pPr>
      <w:spacing w:after="120"/>
      <w:ind w:left="567" w:hanging="283"/>
    </w:pPr>
  </w:style>
  <w:style w:type="paragraph" w:customStyle="1" w:styleId="DHHSbulletindentlastline">
    <w:name w:val="DHHS bullet indent last line"/>
    <w:basedOn w:val="Normal"/>
    <w:uiPriority w:val="4"/>
    <w:rsid w:val="00931F10"/>
    <w:pPr>
      <w:spacing w:line="270" w:lineRule="atLeast"/>
      <w:ind w:left="680" w:hanging="283"/>
    </w:pPr>
    <w:rPr>
      <w:rFonts w:eastAsia="Times"/>
      <w:sz w:val="20"/>
    </w:rPr>
  </w:style>
  <w:style w:type="character" w:customStyle="1" w:styleId="xhighlight">
    <w:name w:val="x_highlight"/>
    <w:basedOn w:val="DefaultParagraphFont"/>
    <w:rsid w:val="00931F10"/>
  </w:style>
  <w:style w:type="character" w:styleId="Mention">
    <w:name w:val="Mention"/>
    <w:basedOn w:val="DefaultParagraphFont"/>
    <w:uiPriority w:val="99"/>
    <w:unhideWhenUsed/>
    <w:rsid w:val="00931F10"/>
    <w:rPr>
      <w:color w:val="2B579A"/>
      <w:shd w:val="clear" w:color="auto" w:fill="E1DFDD"/>
    </w:rPr>
  </w:style>
  <w:style w:type="table" w:styleId="GridTable4">
    <w:name w:val="Grid Table 4"/>
    <w:basedOn w:val="TableNormal"/>
    <w:uiPriority w:val="49"/>
    <w:rsid w:val="00931F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1F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ingerrorsuperscript">
    <w:name w:val="spellingerrorsuperscript"/>
    <w:basedOn w:val="DefaultParagraphFont"/>
    <w:rsid w:val="00931F10"/>
  </w:style>
  <w:style w:type="numbering" w:customStyle="1" w:styleId="NoList1">
    <w:name w:val="No List1"/>
    <w:next w:val="NoList"/>
    <w:uiPriority w:val="99"/>
    <w:semiHidden/>
    <w:unhideWhenUsed/>
    <w:rsid w:val="00931F10"/>
  </w:style>
  <w:style w:type="paragraph" w:customStyle="1" w:styleId="msonormal0">
    <w:name w:val="msonormal"/>
    <w:basedOn w:val="Normal"/>
    <w:rsid w:val="00931F10"/>
    <w:pPr>
      <w:spacing w:before="100" w:beforeAutospacing="1" w:after="100" w:afterAutospacing="1" w:line="240" w:lineRule="auto"/>
    </w:pPr>
    <w:rPr>
      <w:rFonts w:ascii="Times New Roman" w:hAnsi="Times New Roman"/>
      <w:sz w:val="24"/>
      <w:szCs w:val="24"/>
      <w:lang w:eastAsia="en-AU"/>
    </w:rPr>
  </w:style>
  <w:style w:type="paragraph" w:customStyle="1" w:styleId="font0">
    <w:name w:val="font0"/>
    <w:basedOn w:val="Normal"/>
    <w:rsid w:val="00931F10"/>
    <w:pPr>
      <w:spacing w:before="100" w:beforeAutospacing="1" w:after="100" w:afterAutospacing="1" w:line="240" w:lineRule="auto"/>
    </w:pPr>
    <w:rPr>
      <w:rFonts w:ascii="Calibri" w:hAnsi="Calibri" w:cs="Calibri"/>
      <w:color w:val="000000"/>
      <w:sz w:val="22"/>
      <w:szCs w:val="22"/>
      <w:lang w:eastAsia="en-AU"/>
    </w:rPr>
  </w:style>
  <w:style w:type="paragraph" w:customStyle="1" w:styleId="font5">
    <w:name w:val="font5"/>
    <w:basedOn w:val="Normal"/>
    <w:rsid w:val="00931F10"/>
    <w:pPr>
      <w:spacing w:before="100" w:beforeAutospacing="1" w:after="100" w:afterAutospacing="1" w:line="240" w:lineRule="auto"/>
    </w:pPr>
    <w:rPr>
      <w:rFonts w:ascii="Calibri" w:hAnsi="Calibri" w:cs="Calibri"/>
      <w:b/>
      <w:bCs/>
      <w:color w:val="000000"/>
      <w:sz w:val="22"/>
      <w:szCs w:val="22"/>
      <w:lang w:eastAsia="en-AU"/>
    </w:rPr>
  </w:style>
  <w:style w:type="paragraph" w:customStyle="1" w:styleId="font11">
    <w:name w:val="font11"/>
    <w:basedOn w:val="Normal"/>
    <w:rsid w:val="00931F10"/>
    <w:pPr>
      <w:spacing w:before="100" w:beforeAutospacing="1" w:after="100" w:afterAutospacing="1" w:line="240" w:lineRule="auto"/>
    </w:pPr>
    <w:rPr>
      <w:rFonts w:ascii="Calibri" w:hAnsi="Calibri" w:cs="Calibri"/>
      <w:i/>
      <w:iCs/>
      <w:color w:val="000000"/>
      <w:sz w:val="22"/>
      <w:szCs w:val="22"/>
      <w:lang w:eastAsia="en-AU"/>
    </w:rPr>
  </w:style>
  <w:style w:type="paragraph" w:customStyle="1" w:styleId="xl17">
    <w:name w:val="xl17"/>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212529"/>
      <w:sz w:val="24"/>
      <w:szCs w:val="24"/>
      <w:lang w:eastAsia="en-AU"/>
    </w:rPr>
  </w:style>
  <w:style w:type="paragraph" w:customStyle="1" w:styleId="xl18">
    <w:name w:val="xl18"/>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eastAsia="en-AU"/>
    </w:rPr>
  </w:style>
  <w:style w:type="paragraph" w:customStyle="1" w:styleId="xl19">
    <w:name w:val="xl19"/>
    <w:basedOn w:val="Normal"/>
    <w:rsid w:val="00931F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Times New Roman" w:hAnsi="Times New Roman"/>
      <w:color w:val="212529"/>
      <w:sz w:val="24"/>
      <w:szCs w:val="24"/>
      <w:lang w:eastAsia="en-AU"/>
    </w:rPr>
  </w:style>
  <w:style w:type="paragraph" w:customStyle="1" w:styleId="xl20">
    <w:name w:val="xl20"/>
    <w:basedOn w:val="Normal"/>
    <w:rsid w:val="00931F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Times New Roman" w:hAnsi="Times New Roman"/>
      <w:sz w:val="24"/>
      <w:szCs w:val="24"/>
      <w:lang w:eastAsia="en-AU"/>
    </w:rPr>
  </w:style>
  <w:style w:type="paragraph" w:customStyle="1" w:styleId="xl21">
    <w:name w:val="xl21"/>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212529"/>
      <w:sz w:val="24"/>
      <w:szCs w:val="24"/>
      <w:u w:val="single"/>
      <w:lang w:eastAsia="en-AU"/>
    </w:rPr>
  </w:style>
  <w:style w:type="paragraph" w:customStyle="1" w:styleId="xl22">
    <w:name w:val="xl22"/>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lang w:eastAsia="en-AU"/>
    </w:rPr>
  </w:style>
  <w:style w:type="paragraph" w:customStyle="1" w:styleId="xl23">
    <w:name w:val="xl23"/>
    <w:basedOn w:val="Normal"/>
    <w:rsid w:val="00931F10"/>
    <w:pPr>
      <w:shd w:val="clear" w:color="000000" w:fill="E7E6E6"/>
      <w:spacing w:before="100" w:beforeAutospacing="1" w:after="100" w:afterAutospacing="1" w:line="240" w:lineRule="auto"/>
      <w:textAlignment w:val="top"/>
    </w:pPr>
    <w:rPr>
      <w:rFonts w:ascii="Times New Roman" w:hAnsi="Times New Roman"/>
      <w:sz w:val="24"/>
      <w:szCs w:val="24"/>
      <w:lang w:eastAsia="en-AU"/>
    </w:rPr>
  </w:style>
  <w:style w:type="paragraph" w:customStyle="1" w:styleId="xl24">
    <w:name w:val="xl24"/>
    <w:basedOn w:val="Normal"/>
    <w:rsid w:val="00931F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Times New Roman" w:hAnsi="Times New Roman"/>
      <w:color w:val="000000"/>
      <w:sz w:val="24"/>
      <w:szCs w:val="24"/>
      <w:lang w:eastAsia="en-AU"/>
    </w:rPr>
  </w:style>
  <w:style w:type="paragraph" w:customStyle="1" w:styleId="xl25">
    <w:name w:val="xl25"/>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eastAsia="en-AU"/>
    </w:rPr>
  </w:style>
  <w:style w:type="paragraph" w:customStyle="1" w:styleId="xl26">
    <w:name w:val="xl26"/>
    <w:basedOn w:val="Normal"/>
    <w:rsid w:val="00931F10"/>
    <w:pPr>
      <w:spacing w:before="100" w:beforeAutospacing="1" w:after="100" w:afterAutospacing="1" w:line="240" w:lineRule="auto"/>
      <w:textAlignment w:val="top"/>
    </w:pPr>
    <w:rPr>
      <w:rFonts w:ascii="Times New Roman" w:hAnsi="Times New Roman"/>
      <w:sz w:val="24"/>
      <w:szCs w:val="24"/>
      <w:lang w:eastAsia="en-AU"/>
    </w:rPr>
  </w:style>
  <w:style w:type="paragraph" w:customStyle="1" w:styleId="xl27">
    <w:name w:val="xl27"/>
    <w:basedOn w:val="Normal"/>
    <w:rsid w:val="00931F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Times New Roman" w:hAnsi="Times New Roman"/>
      <w:sz w:val="24"/>
      <w:szCs w:val="24"/>
      <w:lang w:eastAsia="en-AU"/>
    </w:rPr>
  </w:style>
  <w:style w:type="paragraph" w:customStyle="1" w:styleId="xl28">
    <w:name w:val="xl28"/>
    <w:basedOn w:val="Normal"/>
    <w:rsid w:val="00931F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212529"/>
      <w:sz w:val="24"/>
      <w:szCs w:val="24"/>
      <w:lang w:eastAsia="en-AU"/>
    </w:rPr>
  </w:style>
  <w:style w:type="paragraph" w:customStyle="1" w:styleId="xl29">
    <w:name w:val="xl29"/>
    <w:basedOn w:val="Normal"/>
    <w:rsid w:val="00931F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lang w:eastAsia="en-AU"/>
    </w:rPr>
  </w:style>
  <w:style w:type="paragraph" w:customStyle="1" w:styleId="xl30">
    <w:name w:val="xl30"/>
    <w:basedOn w:val="Normal"/>
    <w:rsid w:val="00931F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lang w:eastAsia="en-AU"/>
    </w:rPr>
  </w:style>
  <w:style w:type="paragraph" w:customStyle="1" w:styleId="xl33">
    <w:name w:val="xl33"/>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eastAsia="en-AU"/>
    </w:rPr>
  </w:style>
  <w:style w:type="paragraph" w:customStyle="1" w:styleId="xl36">
    <w:name w:val="xl36"/>
    <w:basedOn w:val="Normal"/>
    <w:rsid w:val="00931F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Times New Roman" w:hAnsi="Times New Roman"/>
      <w:b/>
      <w:bCs/>
      <w:i/>
      <w:iCs/>
      <w:sz w:val="24"/>
      <w:szCs w:val="24"/>
      <w:lang w:eastAsia="en-AU"/>
    </w:rPr>
  </w:style>
  <w:style w:type="paragraph" w:customStyle="1" w:styleId="xl37">
    <w:name w:val="xl37"/>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i/>
      <w:iCs/>
      <w:sz w:val="24"/>
      <w:szCs w:val="24"/>
      <w:lang w:eastAsia="en-AU"/>
    </w:rPr>
  </w:style>
  <w:style w:type="paragraph" w:customStyle="1" w:styleId="xl38">
    <w:name w:val="xl38"/>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en-AU"/>
    </w:rPr>
  </w:style>
  <w:style w:type="paragraph" w:customStyle="1" w:styleId="xl39">
    <w:name w:val="xl39"/>
    <w:basedOn w:val="Normal"/>
    <w:rsid w:val="00931F10"/>
    <w:pPr>
      <w:spacing w:before="100" w:beforeAutospacing="1" w:after="100" w:afterAutospacing="1" w:line="240" w:lineRule="auto"/>
    </w:pPr>
    <w:rPr>
      <w:rFonts w:ascii="Calibri" w:hAnsi="Calibri" w:cs="Calibri"/>
      <w:color w:val="444444"/>
      <w:sz w:val="24"/>
      <w:szCs w:val="24"/>
      <w:lang w:eastAsia="en-AU"/>
    </w:rPr>
  </w:style>
  <w:style w:type="paragraph" w:customStyle="1" w:styleId="xl40">
    <w:name w:val="xl40"/>
    <w:basedOn w:val="Normal"/>
    <w:rsid w:val="00931F10"/>
    <w:pPr>
      <w:shd w:val="clear" w:color="000000" w:fill="E7E6E6"/>
      <w:spacing w:before="100" w:beforeAutospacing="1" w:after="100" w:afterAutospacing="1" w:line="240" w:lineRule="auto"/>
    </w:pPr>
    <w:rPr>
      <w:rFonts w:ascii="Calibri" w:hAnsi="Calibri" w:cs="Calibri"/>
      <w:color w:val="444444"/>
      <w:sz w:val="24"/>
      <w:szCs w:val="24"/>
      <w:lang w:eastAsia="en-AU"/>
    </w:rPr>
  </w:style>
  <w:style w:type="paragraph" w:customStyle="1" w:styleId="xl44">
    <w:name w:val="xl44"/>
    <w:basedOn w:val="Normal"/>
    <w:rsid w:val="00931F1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lang w:eastAsia="en-AU"/>
    </w:rPr>
  </w:style>
  <w:style w:type="paragraph" w:customStyle="1" w:styleId="xl95">
    <w:name w:val="xl95"/>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en-AU"/>
    </w:rPr>
  </w:style>
  <w:style w:type="paragraph" w:customStyle="1" w:styleId="xl118">
    <w:name w:val="xl118"/>
    <w:basedOn w:val="Normal"/>
    <w:rsid w:val="0093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en-AU"/>
    </w:rPr>
  </w:style>
  <w:style w:type="paragraph" w:customStyle="1" w:styleId="xl119">
    <w:name w:val="xl119"/>
    <w:basedOn w:val="Normal"/>
    <w:rsid w:val="00931F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hAnsi="Times New Roman"/>
      <w:sz w:val="24"/>
      <w:szCs w:val="24"/>
      <w:lang w:eastAsia="en-AU"/>
    </w:rPr>
  </w:style>
  <w:style w:type="paragraph" w:customStyle="1" w:styleId="xl121">
    <w:name w:val="xl121"/>
    <w:basedOn w:val="Normal"/>
    <w:rsid w:val="00931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en-AU"/>
    </w:rPr>
  </w:style>
  <w:style w:type="paragraph" w:customStyle="1" w:styleId="xl122">
    <w:name w:val="xl122"/>
    <w:basedOn w:val="Normal"/>
    <w:rsid w:val="00931F10"/>
    <w:pPr>
      <w:spacing w:before="100" w:beforeAutospacing="1" w:after="100" w:afterAutospacing="1" w:line="240" w:lineRule="auto"/>
      <w:jc w:val="center"/>
      <w:textAlignment w:val="center"/>
    </w:pPr>
    <w:rPr>
      <w:rFonts w:ascii="Times New Roman" w:hAnsi="Times New Roman"/>
      <w:sz w:val="24"/>
      <w:szCs w:val="24"/>
      <w:lang w:eastAsia="en-AU"/>
    </w:rPr>
  </w:style>
  <w:style w:type="character" w:customStyle="1" w:styleId="font01">
    <w:name w:val="font01"/>
    <w:basedOn w:val="DefaultParagraphFont"/>
    <w:rsid w:val="00931F10"/>
    <w:rPr>
      <w:rFonts w:ascii="Calibri" w:hAnsi="Calibri" w:cs="Calibri"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931F10"/>
    <w:rPr>
      <w:rFonts w:ascii="Calibri" w:hAnsi="Calibri" w:cs="Calibri" w:hint="default"/>
      <w:b/>
      <w:bCs/>
      <w:i w:val="0"/>
      <w:iCs w:val="0"/>
      <w:strike w:val="0"/>
      <w:dstrike w:val="0"/>
      <w:color w:val="000000"/>
      <w:sz w:val="22"/>
      <w:szCs w:val="22"/>
      <w:u w:val="none"/>
      <w:effect w:val="none"/>
    </w:rPr>
  </w:style>
  <w:style w:type="character" w:customStyle="1" w:styleId="font111">
    <w:name w:val="font111"/>
    <w:basedOn w:val="DefaultParagraphFont"/>
    <w:rsid w:val="00931F10"/>
    <w:rPr>
      <w:rFonts w:ascii="Calibri" w:hAnsi="Calibri" w:cs="Calibri" w:hint="default"/>
      <w:b w:val="0"/>
      <w:bCs w:val="0"/>
      <w:i/>
      <w:iCs/>
      <w:strike w:val="0"/>
      <w:dstrike w:val="0"/>
      <w:color w:val="000000"/>
      <w:sz w:val="22"/>
      <w:szCs w:val="22"/>
      <w:u w:val="none"/>
      <w:effect w:val="none"/>
    </w:rPr>
  </w:style>
  <w:style w:type="table" w:styleId="GridTable2-Accent3">
    <w:name w:val="Grid Table 2 Accent 3"/>
    <w:basedOn w:val="TableNormal"/>
    <w:uiPriority w:val="47"/>
    <w:rsid w:val="00931F1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cxw217238196">
    <w:name w:val="scxw217238196"/>
    <w:basedOn w:val="DefaultParagraphFont"/>
    <w:rsid w:val="00931F10"/>
  </w:style>
  <w:style w:type="character" w:customStyle="1" w:styleId="tabchar">
    <w:name w:val="tabchar"/>
    <w:basedOn w:val="DefaultParagraphFont"/>
    <w:rsid w:val="00931F10"/>
  </w:style>
  <w:style w:type="character" w:styleId="Emphasis">
    <w:name w:val="Emphasis"/>
    <w:basedOn w:val="DefaultParagraphFont"/>
    <w:uiPriority w:val="20"/>
    <w:rsid w:val="005F1F38"/>
    <w:rPr>
      <w:i/>
      <w:iCs/>
    </w:rPr>
  </w:style>
  <w:style w:type="paragraph" w:customStyle="1" w:styleId="DHHStabletext9pt">
    <w:name w:val="DHHS table text 9pt"/>
    <w:basedOn w:val="DHHStabletext"/>
    <w:uiPriority w:val="11"/>
    <w:rsid w:val="0061564F"/>
    <w:rPr>
      <w:sz w:val="18"/>
      <w:szCs w:val="18"/>
      <w:lang w:eastAsia="en-AU"/>
    </w:rPr>
  </w:style>
  <w:style w:type="numbering" w:customStyle="1" w:styleId="CurrentList1">
    <w:name w:val="Current List1"/>
    <w:uiPriority w:val="99"/>
    <w:rsid w:val="00C259AE"/>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providers.dhhs.vic.gov.au/sites/default/files/2020-07/Policy-procedures-forms-for-registration%20072020.docx" TargetMode="External"/><Relationship Id="rId39" Type="http://schemas.openxmlformats.org/officeDocument/2006/relationships/header" Target="header5.xml"/><Relationship Id="rId21" Type="http://schemas.openxmlformats.org/officeDocument/2006/relationships/hyperlink" Target="https://www.bettersafercare.vic.gov.au/our-work/incident-response/VHIMS" TargetMode="External"/><Relationship Id="rId34" Type="http://schemas.openxmlformats.org/officeDocument/2006/relationships/hyperlink" Target="https://providers.dhhs.vic.gov.au/human-services-standards" TargetMode="External"/><Relationship Id="rId42" Type="http://schemas.openxmlformats.org/officeDocument/2006/relationships/footer" Target="footer6.xml"/><Relationship Id="rId47" Type="http://schemas.openxmlformats.org/officeDocument/2006/relationships/hyperlink" Target="https://www.bettersafercare.vic.gov.au/our-work/incident-response/VHIMS" TargetMode="External"/><Relationship Id="rId50" Type="http://schemas.openxmlformats.org/officeDocument/2006/relationships/hyperlink" Target="https://www.bettersafercare.vic.gov.au/sites/default/files/2019-08/Policy%20-%20Adverse%20Patient%20Safety%20Events.pdf" TargetMode="External"/><Relationship Id="rId55" Type="http://schemas.openxmlformats.org/officeDocument/2006/relationships/hyperlink" Target="https://www.bettersafercare.vic.gov.au/our-work/incident-response/VHIMS/localsolution" TargetMode="External"/><Relationship Id="rId63" Type="http://schemas.openxmlformats.org/officeDocument/2006/relationships/hyperlink" Target="https://cims.vic.gov.au/" TargetMode="External"/><Relationship Id="rId68" Type="http://schemas.openxmlformats.org/officeDocument/2006/relationships/hyperlink" Target="https://providers.dhhs.vic.gov.au/sites/default/files/2020-02/Client%20incident%20management%20guide%20addendum%20out-of-home%20care_0.docx"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dhhs.vic.gov.au/coronavirus-case-and-contact-management-guidelines-health-services-and-general-practitioners" TargetMode="External"/><Relationship Id="rId11" Type="http://schemas.openxmlformats.org/officeDocument/2006/relationships/footer" Target="footer1.xml"/><Relationship Id="rId24" Type="http://schemas.openxmlformats.org/officeDocument/2006/relationships/hyperlink" Target="https://providers.dhhs.vic.gov.au/sites/default/files/2020-07/Human-Services-Standards-Policy-202007.doc" TargetMode="External"/><Relationship Id="rId32" Type="http://schemas.openxmlformats.org/officeDocument/2006/relationships/hyperlink" Target="https://www.dhhs.vic.gov.au/coronavirus-information-aboriginal-and-torres-strait-islander-communities" TargetMode="External"/><Relationship Id="rId37" Type="http://schemas.openxmlformats.org/officeDocument/2006/relationships/hyperlink" Target="https://www.dhhs.vic.gov.au/coronavirus" TargetMode="External"/><Relationship Id="rId40" Type="http://schemas.openxmlformats.org/officeDocument/2006/relationships/header" Target="header6.xml"/><Relationship Id="rId45" Type="http://schemas.openxmlformats.org/officeDocument/2006/relationships/hyperlink" Target="https://fac.dhhs.vic.gov.au/incident-reporting" TargetMode="External"/><Relationship Id="rId53" Type="http://schemas.openxmlformats.org/officeDocument/2006/relationships/hyperlink" Target="https://www.bettersafercare.vic.gov.au/vhims-central" TargetMode="External"/><Relationship Id="rId58" Type="http://schemas.openxmlformats.org/officeDocument/2006/relationships/hyperlink" Target="mailto:vhims2@vahi.vic.gov.au" TargetMode="External"/><Relationship Id="rId66" Type="http://schemas.openxmlformats.org/officeDocument/2006/relationships/hyperlink" Target="https://providers.dhhs.vic.gov.au/sites/default/files/2020-01/Client%20incident%20management%20guide_0.docx" TargetMode="External"/><Relationship Id="rId74" Type="http://schemas.openxmlformats.org/officeDocument/2006/relationships/hyperlink" Target="http://www.ausit.org/" TargetMode="External"/><Relationship Id="rId5" Type="http://schemas.openxmlformats.org/officeDocument/2006/relationships/webSettings" Target="webSettings.xml"/><Relationship Id="rId15" Type="http://schemas.openxmlformats.org/officeDocument/2006/relationships/hyperlink" Target="mailto:RREM.ExecDirector.ppe@ddfh.vic.gov.au" TargetMode="External"/><Relationship Id="rId23" Type="http://schemas.openxmlformats.org/officeDocument/2006/relationships/hyperlink" Target="https://www2.health.vic.gov.au/hospitals-and-health-services/quality-safety-service/clinical-risk-management" TargetMode="External"/><Relationship Id="rId28" Type="http://schemas.openxmlformats.org/officeDocument/2006/relationships/hyperlink" Target="https://www.dhhs.vic.gov.au/coronavirus-case-and-contact-management-guidelines-health-services-and-general-practitioners" TargetMode="External"/><Relationship Id="rId36" Type="http://schemas.openxmlformats.org/officeDocument/2006/relationships/hyperlink" Target="file:///C:/Users/vicw474/AppData/Local/Microsoft/Windows/INetCache/Content.Outlook/9SY3YVY4/Human%20Services%20Standards%20Policy%20&#8211;%20updated%20July%202020%20%3Chttps:/providers.dhhs.vic.gov.au/sites/default/files/2020-07/Human-Services-Standards-Policy-202007.doc%3E" TargetMode="External"/><Relationship Id="rId49" Type="http://schemas.openxmlformats.org/officeDocument/2006/relationships/hyperlink" Target="https://www.bettersafercare.vic.gov.au/sites/default/files/2019-08/Policy%20-%20Adverse%20Patient%20Safety%20Events.pdf" TargetMode="External"/><Relationship Id="rId57" Type="http://schemas.openxmlformats.org/officeDocument/2006/relationships/hyperlink" Target="mailto:email%20the%20VHIMS" TargetMode="External"/><Relationship Id="rId61" Type="http://schemas.openxmlformats.org/officeDocument/2006/relationships/hyperlink" Target="mailto:CIMS@dhhs.vic.gov.au" TargetMode="External"/><Relationship Id="rId10" Type="http://schemas.openxmlformats.org/officeDocument/2006/relationships/header" Target="header2.xml"/><Relationship Id="rId19" Type="http://schemas.openxmlformats.org/officeDocument/2006/relationships/hyperlink" Target="https://providers.dhhs.vic.gov.au/client-incident-management-summary-guide-word" TargetMode="External"/><Relationship Id="rId31" Type="http://schemas.openxmlformats.org/officeDocument/2006/relationships/hyperlink" Target="https://www.dhhs.vic.gov.au/multi-dwelling-properties-shared-facilities" TargetMode="External"/><Relationship Id="rId44" Type="http://schemas.openxmlformats.org/officeDocument/2006/relationships/hyperlink" Target="https://www.legislation.vic.gov.au/in-force/acts/occupational-health-and-safety-act-2004/038" TargetMode="External"/><Relationship Id="rId52" Type="http://schemas.openxmlformats.org/officeDocument/2006/relationships/hyperlink" Target="https://www.bettersafercare.vic.gov.au/sites/default/files/2019-06/190530-1%20VHIMS_Minimum%20dataset_June_2019.pdf" TargetMode="External"/><Relationship Id="rId60" Type="http://schemas.openxmlformats.org/officeDocument/2006/relationships/hyperlink" Target="http://providers.dhhs.vic.gov.au/cims" TargetMode="External"/><Relationship Id="rId65" Type="http://schemas.openxmlformats.org/officeDocument/2006/relationships/hyperlink" Target="https://providers.dhhs.vic.gov.au/sites/default/files/2020-01/Client%20incident%20management%20guide_0.docx" TargetMode="External"/><Relationship Id="rId73" Type="http://schemas.openxmlformats.org/officeDocument/2006/relationships/hyperlink" Target="https://www.safeworkaustralia.gov.au/glossar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bettersafercare.vic.gov.au/our-work/incident-response/VHIMS" TargetMode="External"/><Relationship Id="rId27" Type="http://schemas.openxmlformats.org/officeDocument/2006/relationships/hyperlink" Target="https://providers.dhhs.vic.gov.au/sites/default/files/2020-07/Policy-procedures-forms-for-registration%20072020.docx" TargetMode="External"/><Relationship Id="rId30" Type="http://schemas.openxmlformats.org/officeDocument/2006/relationships/hyperlink" Target="https://www.dhhs.vic.gov.au/multi-dwelling-properties-shared-facilities" TargetMode="External"/><Relationship Id="rId35" Type="http://schemas.openxmlformats.org/officeDocument/2006/relationships/hyperlink" Target="https://providers.dffh.vic.gov.au/human-services-standards" TargetMode="External"/><Relationship Id="rId43" Type="http://schemas.openxmlformats.org/officeDocument/2006/relationships/hyperlink" Target="https://www.legislation.vic.gov.au/in-force/acts/occupational-health-and-safety-act-2004" TargetMode="External"/><Relationship Id="rId48" Type="http://schemas.openxmlformats.org/officeDocument/2006/relationships/hyperlink" Target="https://www.bettersafercare.vic.gov.au/our-work/incident-response/VHIMS" TargetMode="External"/><Relationship Id="rId56" Type="http://schemas.openxmlformats.org/officeDocument/2006/relationships/hyperlink" Target="https://www.bettersafercare.vic.gov.au/our-work/incident-response/VHIMS/localsolution" TargetMode="External"/><Relationship Id="rId64" Type="http://schemas.openxmlformats.org/officeDocument/2006/relationships/hyperlink" Target="https://cims.vic.gov.au/" TargetMode="External"/><Relationship Id="rId69" Type="http://schemas.openxmlformats.org/officeDocument/2006/relationships/hyperlink" Target="https://intranet.dhhs.vic.gov.au/working-at-dhhs/about-you/training/cims-root-cause-analysis-rca-review" TargetMode="External"/><Relationship Id="rId8" Type="http://schemas.openxmlformats.org/officeDocument/2006/relationships/image" Target="media/image1.png"/><Relationship Id="rId51" Type="http://schemas.openxmlformats.org/officeDocument/2006/relationships/hyperlink" Target="https://www.bettersafercare.vic.gov.au/sites/default/files/2019-06/190530-1%20VHIMS_Minimum%20dataset_June_2019.pdf" TargetMode="External"/><Relationship Id="rId72" Type="http://schemas.openxmlformats.org/officeDocument/2006/relationships/image" Target="media/image7.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providers.dhhs.vic.gov.au/sites/default/files/2020-07/Human-Services-Standards-Policy-202007.doc" TargetMode="External"/><Relationship Id="rId33" Type="http://schemas.openxmlformats.org/officeDocument/2006/relationships/hyperlink" Target="https://www.dhhs.vic.gov.au/coronavirus-information-aboriginal-and-torres-strait-islander-communities" TargetMode="External"/><Relationship Id="rId38" Type="http://schemas.openxmlformats.org/officeDocument/2006/relationships/hyperlink" Target="https://www.dhhs.vic.gov.au/coronavirus" TargetMode="External"/><Relationship Id="rId46" Type="http://schemas.openxmlformats.org/officeDocument/2006/relationships/hyperlink" Target="https://fac.dhhs.vic.gov.au/incident-reporting" TargetMode="External"/><Relationship Id="rId59" Type="http://schemas.openxmlformats.org/officeDocument/2006/relationships/hyperlink" Target="http://providers.dhhs.vic.gov.au/cims" TargetMode="External"/><Relationship Id="rId67" Type="http://schemas.openxmlformats.org/officeDocument/2006/relationships/hyperlink" Target="https://providers.dhhs.vic.gov.au/sites/default/files/2020-02/Client%20incident%20management%20guide%20addendum%20out-of-home%20care_0.docx" TargetMode="External"/><Relationship Id="rId20" Type="http://schemas.openxmlformats.org/officeDocument/2006/relationships/hyperlink" Target="https://providers.dhhs.vic.gov.au/sites/default/files/2020-01/Client%20incident%20management%20guide_0.docx" TargetMode="External"/><Relationship Id="rId41" Type="http://schemas.openxmlformats.org/officeDocument/2006/relationships/footer" Target="footer5.xml"/><Relationship Id="rId54" Type="http://schemas.openxmlformats.org/officeDocument/2006/relationships/hyperlink" Target="https://www.bettersafercare.vic.gov.au/vhims-central" TargetMode="External"/><Relationship Id="rId62" Type="http://schemas.openxmlformats.org/officeDocument/2006/relationships/hyperlink" Target="mailto:CIMS@dhhs.vic.gov.au" TargetMode="External"/><Relationship Id="rId70" Type="http://schemas.openxmlformats.org/officeDocument/2006/relationships/image" Target="media/image5.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28111</Words>
  <Characters>183599</Characters>
  <Application>Microsoft Office Word</Application>
  <DocSecurity>0</DocSecurity>
  <Lines>1529</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211288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Risk Accommodation Response Extension Service Specifications - January 2022</dc:title>
  <dc:creator/>
  <cp:lastModifiedBy/>
  <cp:revision>1</cp:revision>
  <dcterms:created xsi:type="dcterms:W3CDTF">2022-01-24T04:45:00Z</dcterms:created>
  <dcterms:modified xsi:type="dcterms:W3CDTF">2022-01-24T04:46:00Z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2022-01-24T04:46:20Z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c7fcc196-796f-42e6-ac9f-33bfbcbe8412</vt:lpwstr>
  </property>
  <property fmtid="{D5CDD505-2E9C-101B-9397-08002B2CF9AE}" pid="8" name="MSIP_Label_43e64453-338c-4f93-8a4d-0039a0a41f2a_ContentBits">
    <vt:lpwstr>2</vt:lpwstr>
  </property>
</Properties>
</file>